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52B2C" w14:textId="77777777" w:rsidR="002E6EBF" w:rsidRDefault="002E6EBF">
      <w:pPr>
        <w:spacing w:before="0" w:after="0" w:line="240" w:lineRule="auto"/>
        <w:jc w:val="left"/>
        <w:rPr>
          <w:rFonts w:asciiTheme="minorHAnsi" w:hAnsiTheme="minorHAnsi" w:cstheme="minorHAnsi"/>
          <w:b/>
        </w:rPr>
      </w:pPr>
    </w:p>
    <w:p w14:paraId="58A62068" w14:textId="77777777" w:rsidR="002E6EBF" w:rsidRDefault="00863448">
      <w:pPr>
        <w:pBdr>
          <w:top w:val="single" w:sz="4" w:space="1" w:color="auto"/>
          <w:left w:val="single" w:sz="4" w:space="4" w:color="auto"/>
          <w:bottom w:val="single" w:sz="4" w:space="1" w:color="auto"/>
          <w:right w:val="single" w:sz="4" w:space="4" w:color="auto"/>
        </w:pBdr>
        <w:shd w:val="clear" w:color="auto" w:fill="92D050"/>
        <w:spacing w:before="0" w:after="0" w:line="240" w:lineRule="auto"/>
        <w:jc w:val="center"/>
        <w:rPr>
          <w:rFonts w:asciiTheme="minorHAnsi" w:hAnsiTheme="minorHAnsi" w:cstheme="minorHAnsi"/>
          <w:b/>
        </w:rPr>
      </w:pPr>
      <w:r>
        <w:rPr>
          <w:rFonts w:asciiTheme="minorHAnsi" w:hAnsiTheme="minorHAnsi" w:cstheme="minorHAnsi"/>
          <w:b/>
        </w:rPr>
        <w:t>PROJECT TASK</w:t>
      </w:r>
    </w:p>
    <w:p w14:paraId="7836256C" w14:textId="77777777" w:rsidR="002E6EBF" w:rsidRDefault="002E6EBF">
      <w:pPr>
        <w:pBdr>
          <w:top w:val="single" w:sz="4" w:space="1" w:color="auto"/>
          <w:left w:val="single" w:sz="4" w:space="4" w:color="auto"/>
          <w:bottom w:val="single" w:sz="4" w:space="1" w:color="auto"/>
          <w:right w:val="single" w:sz="4" w:space="4" w:color="auto"/>
        </w:pBdr>
        <w:shd w:val="clear" w:color="auto" w:fill="92D050"/>
        <w:spacing w:before="0" w:after="0" w:line="240" w:lineRule="auto"/>
        <w:jc w:val="center"/>
        <w:rPr>
          <w:rFonts w:asciiTheme="minorHAnsi" w:hAnsiTheme="minorHAnsi" w:cstheme="minorHAnsi"/>
          <w:b/>
        </w:rPr>
      </w:pPr>
    </w:p>
    <w:p w14:paraId="504692CD" w14:textId="74907E0A" w:rsidR="002E6EBF" w:rsidRDefault="00E629FF">
      <w:pPr>
        <w:pBdr>
          <w:top w:val="single" w:sz="4" w:space="1" w:color="auto"/>
          <w:left w:val="single" w:sz="4" w:space="4" w:color="auto"/>
          <w:bottom w:val="single" w:sz="4" w:space="1" w:color="auto"/>
          <w:right w:val="single" w:sz="4" w:space="4" w:color="auto"/>
        </w:pBdr>
        <w:shd w:val="clear" w:color="auto" w:fill="92D050"/>
        <w:spacing w:before="0" w:after="0" w:line="240" w:lineRule="auto"/>
        <w:jc w:val="center"/>
        <w:rPr>
          <w:rFonts w:asciiTheme="minorHAnsi" w:hAnsiTheme="minorHAnsi" w:cstheme="minorHAnsi"/>
          <w:b/>
        </w:rPr>
      </w:pPr>
      <w:r>
        <w:rPr>
          <w:b/>
          <w:u w:val="single"/>
        </w:rPr>
        <w:t xml:space="preserve">Audit of the verification </w:t>
      </w:r>
      <w:r w:rsidR="00863448">
        <w:rPr>
          <w:rFonts w:asciiTheme="minorHAnsi" w:hAnsiTheme="minorHAnsi" w:cstheme="minorHAnsi"/>
          <w:b/>
        </w:rPr>
        <w:t xml:space="preserve">of the adequacy of traffic forecasts from the Feasibility Study Second Track </w:t>
      </w:r>
      <w:proofErr w:type="spellStart"/>
      <w:r w:rsidR="00863448">
        <w:rPr>
          <w:rFonts w:asciiTheme="minorHAnsi" w:hAnsiTheme="minorHAnsi" w:cstheme="minorHAnsi"/>
          <w:b/>
        </w:rPr>
        <w:t>Divača</w:t>
      </w:r>
      <w:proofErr w:type="spellEnd"/>
      <w:r w:rsidR="00863448">
        <w:rPr>
          <w:rFonts w:asciiTheme="minorHAnsi" w:hAnsiTheme="minorHAnsi" w:cstheme="minorHAnsi"/>
          <w:b/>
        </w:rPr>
        <w:t xml:space="preserve"> - Koper (ŠU) and its bases</w:t>
      </w:r>
    </w:p>
    <w:p w14:paraId="3E7A91F9" w14:textId="77777777" w:rsidR="002E6EBF" w:rsidRDefault="002E6EBF">
      <w:pPr>
        <w:spacing w:before="0" w:after="0" w:line="240" w:lineRule="auto"/>
        <w:rPr>
          <w:rFonts w:asciiTheme="minorHAnsi" w:hAnsiTheme="minorHAnsi" w:cstheme="minorHAnsi"/>
        </w:rPr>
      </w:pPr>
    </w:p>
    <w:p w14:paraId="7F3ECC94" w14:textId="77777777" w:rsidR="002E6EBF" w:rsidRDefault="00863448">
      <w:pPr>
        <w:spacing w:before="0" w:after="0" w:line="240" w:lineRule="auto"/>
        <w:rPr>
          <w:rFonts w:asciiTheme="minorHAnsi" w:hAnsiTheme="minorHAnsi" w:cstheme="minorHAnsi"/>
          <w:b/>
          <w:u w:val="single"/>
        </w:rPr>
      </w:pPr>
      <w:r>
        <w:rPr>
          <w:rFonts w:asciiTheme="minorHAnsi" w:hAnsiTheme="minorHAnsi" w:cstheme="minorHAnsi"/>
          <w:b/>
          <w:u w:val="single"/>
        </w:rPr>
        <w:t>INTRODUCTION</w:t>
      </w:r>
    </w:p>
    <w:p w14:paraId="273B42C7" w14:textId="77777777" w:rsidR="002E6EBF" w:rsidRDefault="00863448">
      <w:pPr>
        <w:spacing w:before="0" w:after="0" w:line="240" w:lineRule="auto"/>
        <w:rPr>
          <w:rFonts w:asciiTheme="minorHAnsi" w:hAnsiTheme="minorHAnsi" w:cstheme="minorHAnsi"/>
          <w:color w:val="000000"/>
        </w:rPr>
      </w:pPr>
      <w:r>
        <w:rPr>
          <w:rFonts w:asciiTheme="minorHAnsi" w:hAnsiTheme="minorHAnsi" w:cstheme="minorHAnsi"/>
          <w:color w:val="000000"/>
        </w:rPr>
        <w:t xml:space="preserve">2TDK, Družba za </w:t>
      </w:r>
      <w:proofErr w:type="spellStart"/>
      <w:r>
        <w:rPr>
          <w:rFonts w:asciiTheme="minorHAnsi" w:hAnsiTheme="minorHAnsi" w:cstheme="minorHAnsi"/>
          <w:color w:val="000000"/>
        </w:rPr>
        <w:t>razvoj</w:t>
      </w:r>
      <w:proofErr w:type="spellEnd"/>
      <w:r>
        <w:rPr>
          <w:rFonts w:asciiTheme="minorHAnsi" w:hAnsiTheme="minorHAnsi" w:cstheme="minorHAnsi"/>
          <w:color w:val="000000"/>
        </w:rPr>
        <w:t xml:space="preserve"> </w:t>
      </w:r>
      <w:proofErr w:type="spellStart"/>
      <w:r>
        <w:rPr>
          <w:rFonts w:asciiTheme="minorHAnsi" w:hAnsiTheme="minorHAnsi" w:cstheme="minorHAnsi"/>
          <w:color w:val="000000"/>
        </w:rPr>
        <w:t>projekta</w:t>
      </w:r>
      <w:proofErr w:type="spellEnd"/>
      <w:r>
        <w:rPr>
          <w:rFonts w:asciiTheme="minorHAnsi" w:hAnsiTheme="minorHAnsi" w:cstheme="minorHAnsi"/>
          <w:color w:val="000000"/>
        </w:rPr>
        <w:t>, d.o.o. (hereinafter: 2TDK) was established as a project company for the development of the second track, based on the decision no. 01406-4 / 2016/15, adopted by the Government of the Republic of Slovenia on 31.3.2016. The company, which is 100% state-owned, was founded by the Government of the Republic of Slovenia in order to carry out all the necessary activities during the preparation and construction phase of the second track and to manage it for the duration of the concession contract.</w:t>
      </w:r>
    </w:p>
    <w:p w14:paraId="277D8D42" w14:textId="77777777" w:rsidR="002E6EBF" w:rsidRDefault="002E6EBF">
      <w:pPr>
        <w:spacing w:before="0" w:after="0" w:line="240" w:lineRule="auto"/>
        <w:rPr>
          <w:rFonts w:asciiTheme="minorHAnsi" w:hAnsiTheme="minorHAnsi" w:cstheme="minorHAnsi"/>
          <w:color w:val="000000"/>
        </w:rPr>
      </w:pPr>
    </w:p>
    <w:p w14:paraId="16A0E2F6" w14:textId="77777777" w:rsidR="002E6EBF" w:rsidRDefault="00863448">
      <w:pPr>
        <w:spacing w:before="0" w:after="0" w:line="240" w:lineRule="auto"/>
        <w:rPr>
          <w:rFonts w:asciiTheme="minorHAnsi" w:hAnsiTheme="minorHAnsi" w:cstheme="minorHAnsi"/>
          <w:color w:val="000000"/>
        </w:rPr>
      </w:pPr>
      <w:r>
        <w:rPr>
          <w:rFonts w:asciiTheme="minorHAnsi" w:hAnsiTheme="minorHAnsi" w:cstheme="minorHAnsi"/>
          <w:color w:val="000000"/>
        </w:rPr>
        <w:t xml:space="preserve">The Law on construction, administration and management of the </w:t>
      </w:r>
      <w:proofErr w:type="spellStart"/>
      <w:r>
        <w:rPr>
          <w:rFonts w:asciiTheme="minorHAnsi" w:hAnsiTheme="minorHAnsi" w:cstheme="minorHAnsi"/>
          <w:color w:val="000000"/>
        </w:rPr>
        <w:t>Divača</w:t>
      </w:r>
      <w:proofErr w:type="spellEnd"/>
      <w:r>
        <w:rPr>
          <w:rFonts w:asciiTheme="minorHAnsi" w:hAnsiTheme="minorHAnsi" w:cstheme="minorHAnsi"/>
          <w:color w:val="000000"/>
        </w:rPr>
        <w:t>-Koper Second Track (ZIUGDT) came into force on 21. 7. 2018. With the entry into force of the ZIUGDT, the conditions have been created to compensate the state's developmental delays in the modernization of the railway network in Slovenia, since the entry into force of the Act enables the start of accelerated modernization and upgrading of the entire Slovenian railway network. With the entry into force of ZIUGDT, the company became an investor in accordance with the Construction Law. The concession for the construction and management of the second track will be granted to the company for 45 years, and the right regarding infrastructure management will be acquired by the company after the construction of the second track.</w:t>
      </w:r>
    </w:p>
    <w:p w14:paraId="352FC3DF" w14:textId="77777777" w:rsidR="002E6EBF" w:rsidRDefault="00863448">
      <w:pPr>
        <w:spacing w:before="0" w:after="0" w:line="240" w:lineRule="auto"/>
        <w:rPr>
          <w:rFonts w:asciiTheme="minorHAnsi" w:hAnsiTheme="minorHAnsi" w:cstheme="minorHAnsi"/>
          <w:color w:val="000000"/>
        </w:rPr>
      </w:pPr>
      <w:r>
        <w:rPr>
          <w:rFonts w:asciiTheme="minorHAnsi" w:hAnsiTheme="minorHAnsi" w:cstheme="minorHAnsi"/>
          <w:color w:val="000000"/>
        </w:rPr>
        <w:t>After the expiry of the concession contract, the ownership of all constructed public railway infrastructure, which makes up the second track, together with all the equipment and devices necessary for its smooth operation, will be transferred to the ownership and possession of the Republic of Slovenia.</w:t>
      </w:r>
    </w:p>
    <w:p w14:paraId="047A06F3" w14:textId="77777777" w:rsidR="002E6EBF" w:rsidRDefault="002E6EBF">
      <w:pPr>
        <w:spacing w:before="0" w:after="0" w:line="240" w:lineRule="auto"/>
        <w:rPr>
          <w:rFonts w:asciiTheme="minorHAnsi" w:hAnsiTheme="minorHAnsi" w:cstheme="minorHAnsi"/>
          <w:color w:val="000000"/>
        </w:rPr>
      </w:pPr>
    </w:p>
    <w:p w14:paraId="58694FF3" w14:textId="77777777" w:rsidR="002E6EBF" w:rsidRDefault="00863448">
      <w:pPr>
        <w:spacing w:before="0" w:after="0" w:line="240" w:lineRule="auto"/>
        <w:rPr>
          <w:rFonts w:asciiTheme="minorHAnsi" w:hAnsiTheme="minorHAnsi" w:cstheme="minorHAnsi"/>
        </w:rPr>
      </w:pPr>
      <w:r>
        <w:rPr>
          <w:rFonts w:asciiTheme="minorHAnsi" w:hAnsiTheme="minorHAnsi" w:cstheme="minorHAnsi"/>
        </w:rPr>
        <w:t xml:space="preserve">The </w:t>
      </w:r>
      <w:proofErr w:type="spellStart"/>
      <w:r>
        <w:rPr>
          <w:rFonts w:asciiTheme="minorHAnsi" w:hAnsiTheme="minorHAnsi" w:cstheme="minorHAnsi"/>
        </w:rPr>
        <w:t>Divača</w:t>
      </w:r>
      <w:proofErr w:type="spellEnd"/>
      <w:r>
        <w:rPr>
          <w:rFonts w:asciiTheme="minorHAnsi" w:hAnsiTheme="minorHAnsi" w:cstheme="minorHAnsi"/>
        </w:rPr>
        <w:t xml:space="preserve"> - Koper Second Track project is also expected to be financed with a loan from the European Investment Bank (EIB). One of the conditions for the co-financing of the </w:t>
      </w:r>
      <w:proofErr w:type="spellStart"/>
      <w:r>
        <w:rPr>
          <w:rFonts w:asciiTheme="minorHAnsi" w:hAnsiTheme="minorHAnsi" w:cstheme="minorHAnsi"/>
        </w:rPr>
        <w:t>Divača</w:t>
      </w:r>
      <w:proofErr w:type="spellEnd"/>
      <w:r>
        <w:rPr>
          <w:rFonts w:asciiTheme="minorHAnsi" w:hAnsiTheme="minorHAnsi" w:cstheme="minorHAnsi"/>
        </w:rPr>
        <w:t xml:space="preserve"> - Koper Second Track project with the EIB is also the revision of the transport models on the basis of which the </w:t>
      </w:r>
      <w:proofErr w:type="spellStart"/>
      <w:r>
        <w:rPr>
          <w:rFonts w:asciiTheme="minorHAnsi" w:hAnsiTheme="minorHAnsi" w:cstheme="minorHAnsi"/>
        </w:rPr>
        <w:t>Feasibilty</w:t>
      </w:r>
      <w:proofErr w:type="spellEnd"/>
      <w:r>
        <w:rPr>
          <w:rFonts w:asciiTheme="minorHAnsi" w:hAnsiTheme="minorHAnsi" w:cstheme="minorHAnsi"/>
        </w:rPr>
        <w:t xml:space="preserve"> Study was prepared: "Investment Feasibility Study Second Track </w:t>
      </w:r>
      <w:proofErr w:type="spellStart"/>
      <w:r>
        <w:rPr>
          <w:rFonts w:asciiTheme="minorHAnsi" w:hAnsiTheme="minorHAnsi" w:cstheme="minorHAnsi"/>
        </w:rPr>
        <w:t>Divača</w:t>
      </w:r>
      <w:proofErr w:type="spellEnd"/>
      <w:r>
        <w:rPr>
          <w:rFonts w:asciiTheme="minorHAnsi" w:hAnsiTheme="minorHAnsi" w:cstheme="minorHAnsi"/>
        </w:rPr>
        <w:t xml:space="preserve"> - Koper, Deloitte, March 2019" (hereinafter referred to as ŠU). </w:t>
      </w:r>
    </w:p>
    <w:p w14:paraId="5B2CF58B" w14:textId="77777777" w:rsidR="002E6EBF" w:rsidRDefault="002E6EBF">
      <w:pPr>
        <w:spacing w:before="0" w:after="0" w:line="240" w:lineRule="auto"/>
        <w:rPr>
          <w:rFonts w:asciiTheme="minorHAnsi" w:hAnsiTheme="minorHAnsi" w:cstheme="minorHAnsi"/>
        </w:rPr>
      </w:pPr>
    </w:p>
    <w:p w14:paraId="66D4AE49" w14:textId="77777777" w:rsidR="002E6EBF" w:rsidRDefault="00863448">
      <w:pPr>
        <w:spacing w:before="0" w:after="0" w:line="240" w:lineRule="auto"/>
        <w:rPr>
          <w:rFonts w:asciiTheme="minorHAnsi" w:hAnsiTheme="minorHAnsi" w:cstheme="minorHAnsi"/>
        </w:rPr>
      </w:pPr>
      <w:r>
        <w:rPr>
          <w:rFonts w:asciiTheme="minorHAnsi" w:hAnsiTheme="minorHAnsi" w:cstheme="minorHAnsi"/>
        </w:rPr>
        <w:t>The ŠU demand analysis was prepared based on studies conducted by PNZ, the Transportation Advisor at the Ministry of Infrastructure, and the IMF, a globally recognized maritime consulting firm.</w:t>
      </w:r>
    </w:p>
    <w:p w14:paraId="082F09BA" w14:textId="77777777" w:rsidR="002E6EBF" w:rsidRDefault="002E6EBF">
      <w:pPr>
        <w:spacing w:before="0" w:after="0" w:line="240" w:lineRule="auto"/>
        <w:rPr>
          <w:rFonts w:asciiTheme="minorHAnsi" w:hAnsiTheme="minorHAnsi" w:cstheme="minorHAnsi"/>
        </w:rPr>
      </w:pPr>
    </w:p>
    <w:p w14:paraId="0F94EAEE" w14:textId="77777777" w:rsidR="002E6EBF" w:rsidRDefault="00863448">
      <w:pPr>
        <w:spacing w:before="0" w:after="0" w:line="240" w:lineRule="auto"/>
        <w:rPr>
          <w:rFonts w:asciiTheme="minorHAnsi" w:hAnsiTheme="minorHAnsi" w:cstheme="minorHAnsi"/>
        </w:rPr>
      </w:pPr>
      <w:r>
        <w:rPr>
          <w:rFonts w:asciiTheme="minorHAnsi" w:hAnsiTheme="minorHAnsi" w:cstheme="minorHAnsi"/>
        </w:rPr>
        <w:t xml:space="preserve">Both studies are based on integrated transport models, but each has its limitations. The PNZ model predicts passenger traffic and freight flow for all cargo types, but only within the northern Adriatic ports, while the IMF model extends the scope to all European ports, but only for container traffic. For the needs of ŠU, both studies were used to develop a projection of joint loading through the Port of Koper (and further transport flows into the hinterland by rail and by road) in the scenario WITHOUT and </w:t>
      </w:r>
      <w:proofErr w:type="gramStart"/>
      <w:r>
        <w:rPr>
          <w:rFonts w:asciiTheme="minorHAnsi" w:hAnsiTheme="minorHAnsi" w:cstheme="minorHAnsi"/>
        </w:rPr>
        <w:t>With</w:t>
      </w:r>
      <w:proofErr w:type="gramEnd"/>
      <w:r>
        <w:rPr>
          <w:rFonts w:asciiTheme="minorHAnsi" w:hAnsiTheme="minorHAnsi" w:cstheme="minorHAnsi"/>
        </w:rPr>
        <w:t xml:space="preserve"> the investment (</w:t>
      </w:r>
      <w:proofErr w:type="spellStart"/>
      <w:r>
        <w:rPr>
          <w:rFonts w:asciiTheme="minorHAnsi" w:hAnsiTheme="minorHAnsi" w:cstheme="minorHAnsi"/>
        </w:rPr>
        <w:t>Divača</w:t>
      </w:r>
      <w:proofErr w:type="spellEnd"/>
      <w:r>
        <w:rPr>
          <w:rFonts w:asciiTheme="minorHAnsi" w:hAnsiTheme="minorHAnsi" w:cstheme="minorHAnsi"/>
        </w:rPr>
        <w:t xml:space="preserve"> - Koper Second Track project). The traffic forecast in ŠU is the result of trade flows (in tonnes) in the scenario WITHOUT and WITH the investment for 2020, 2030, 2040, </w:t>
      </w:r>
      <w:r>
        <w:rPr>
          <w:rFonts w:asciiTheme="minorHAnsi" w:hAnsiTheme="minorHAnsi" w:cstheme="minorHAnsi"/>
        </w:rPr>
        <w:lastRenderedPageBreak/>
        <w:t>and the differences between the scenarios are a consequence of (non) realization of the investment, which are reflected in the shifting of cargo to / from the road and rerouting from / to other ports.</w:t>
      </w:r>
    </w:p>
    <w:p w14:paraId="5F057571" w14:textId="77777777" w:rsidR="002E6EBF" w:rsidRDefault="002E6EBF">
      <w:pPr>
        <w:spacing w:before="0" w:after="0" w:line="240" w:lineRule="auto"/>
        <w:rPr>
          <w:rFonts w:asciiTheme="minorHAnsi" w:hAnsiTheme="minorHAnsi" w:cstheme="minorHAnsi"/>
        </w:rPr>
      </w:pPr>
    </w:p>
    <w:p w14:paraId="6F7746BE" w14:textId="77777777" w:rsidR="002E6EBF" w:rsidRDefault="00863448">
      <w:pPr>
        <w:spacing w:before="0" w:after="0" w:line="240" w:lineRule="auto"/>
        <w:rPr>
          <w:rFonts w:asciiTheme="minorHAnsi" w:hAnsiTheme="minorHAnsi" w:cstheme="minorHAnsi"/>
        </w:rPr>
      </w:pPr>
      <w:r>
        <w:rPr>
          <w:rFonts w:asciiTheme="minorHAnsi" w:hAnsiTheme="minorHAnsi" w:cstheme="minorHAnsi"/>
        </w:rPr>
        <w:t>The table below summarizes the trade flows under the scenario WITHOUT and the scenario WITH.</w:t>
      </w:r>
    </w:p>
    <w:p w14:paraId="4DE1C6EE" w14:textId="77777777" w:rsidR="002E6EBF" w:rsidRDefault="002E6EBF">
      <w:pPr>
        <w:spacing w:before="0" w:after="0" w:line="240" w:lineRule="auto"/>
        <w:rPr>
          <w:rFonts w:asciiTheme="minorHAnsi" w:hAnsiTheme="minorHAnsi" w:cstheme="minorHAnsi"/>
        </w:rPr>
      </w:pPr>
    </w:p>
    <w:p w14:paraId="6999857B" w14:textId="606648B5" w:rsidR="002E6EBF" w:rsidRDefault="00863448">
      <w:pPr>
        <w:spacing w:before="0" w:after="0" w:line="240" w:lineRule="auto"/>
        <w:rPr>
          <w:rFonts w:asciiTheme="minorHAnsi" w:hAnsiTheme="minorHAnsi" w:cstheme="minorHAnsi"/>
        </w:rPr>
      </w:pPr>
      <w:r>
        <w:rPr>
          <w:rFonts w:asciiTheme="minorHAnsi" w:hAnsiTheme="minorHAnsi" w:cstheme="minorHAnsi"/>
        </w:rPr>
        <w:t>Table: Summary of trade flows according to the scenario WITHOUT the scenario WITH from IP or ŠU.</w:t>
      </w:r>
    </w:p>
    <w:p w14:paraId="5B7E30FE" w14:textId="1A6136B9" w:rsidR="00E50F2F" w:rsidRDefault="00E50F2F">
      <w:pPr>
        <w:spacing w:before="0" w:after="0" w:line="240" w:lineRule="auto"/>
        <w:rPr>
          <w:rFonts w:asciiTheme="minorHAnsi" w:hAnsiTheme="minorHAnsi" w:cstheme="minorHAnsi"/>
        </w:rPr>
      </w:pPr>
    </w:p>
    <w:p w14:paraId="08D409B3" w14:textId="7AF0EC73" w:rsidR="00E50F2F" w:rsidRDefault="00E50F2F">
      <w:pPr>
        <w:spacing w:before="0" w:after="0" w:line="240" w:lineRule="auto"/>
        <w:rPr>
          <w:rFonts w:asciiTheme="minorHAnsi" w:hAnsiTheme="minorHAnsi" w:cstheme="minorHAnsi"/>
        </w:rPr>
      </w:pPr>
      <w:r>
        <w:rPr>
          <w:noProof/>
          <w:lang w:val="sl-SI" w:eastAsia="sl-SI"/>
        </w:rPr>
        <w:drawing>
          <wp:inline distT="0" distB="0" distL="0" distR="0" wp14:anchorId="07ABFB0E" wp14:editId="70DF5A4C">
            <wp:extent cx="5791200" cy="3617272"/>
            <wp:effectExtent l="0" t="0" r="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2657" t="22050" r="23594" b="18267"/>
                    <a:stretch/>
                  </pic:blipFill>
                  <pic:spPr bwMode="auto">
                    <a:xfrm>
                      <a:off x="0" y="0"/>
                      <a:ext cx="5809858" cy="3628926"/>
                    </a:xfrm>
                    <a:prstGeom prst="rect">
                      <a:avLst/>
                    </a:prstGeom>
                    <a:ln>
                      <a:noFill/>
                    </a:ln>
                    <a:extLst>
                      <a:ext uri="{53640926-AAD7-44D8-BBD7-CCE9431645EC}">
                        <a14:shadowObscured xmlns:a14="http://schemas.microsoft.com/office/drawing/2010/main"/>
                      </a:ext>
                    </a:extLst>
                  </pic:spPr>
                </pic:pic>
              </a:graphicData>
            </a:graphic>
          </wp:inline>
        </w:drawing>
      </w:r>
    </w:p>
    <w:p w14:paraId="653FD303" w14:textId="7D59F293" w:rsidR="002E6EBF" w:rsidRDefault="00863448">
      <w:pPr>
        <w:spacing w:before="0" w:after="0" w:line="240" w:lineRule="auto"/>
        <w:rPr>
          <w:rFonts w:asciiTheme="minorHAnsi" w:hAnsiTheme="minorHAnsi" w:cstheme="minorHAnsi"/>
        </w:rPr>
      </w:pPr>
      <w:r>
        <w:rPr>
          <w:rFonts w:asciiTheme="minorHAnsi" w:hAnsiTheme="minorHAnsi" w:cstheme="minorHAnsi"/>
        </w:rPr>
        <w:t>Source: IP / ŠU</w:t>
      </w:r>
    </w:p>
    <w:p w14:paraId="5C8EF906" w14:textId="77777777" w:rsidR="002E6EBF" w:rsidRDefault="002E6EBF">
      <w:pPr>
        <w:spacing w:before="0" w:after="0" w:line="240" w:lineRule="auto"/>
        <w:rPr>
          <w:rFonts w:asciiTheme="minorHAnsi" w:hAnsiTheme="minorHAnsi" w:cstheme="minorHAnsi"/>
        </w:rPr>
      </w:pPr>
    </w:p>
    <w:p w14:paraId="73F43A56" w14:textId="77777777" w:rsidR="002E6EBF" w:rsidRDefault="00863448">
      <w:pPr>
        <w:spacing w:before="0" w:after="0" w:line="240" w:lineRule="auto"/>
        <w:rPr>
          <w:rFonts w:asciiTheme="minorHAnsi" w:hAnsiTheme="minorHAnsi" w:cstheme="minorHAnsi"/>
          <w:b/>
          <w:u w:val="single"/>
        </w:rPr>
      </w:pPr>
      <w:r>
        <w:rPr>
          <w:rFonts w:asciiTheme="minorHAnsi" w:hAnsiTheme="minorHAnsi" w:cstheme="minorHAnsi"/>
          <w:b/>
          <w:u w:val="single"/>
        </w:rPr>
        <w:t>CONTRACT SUBJECT</w:t>
      </w:r>
    </w:p>
    <w:p w14:paraId="7B6EE94E" w14:textId="77777777" w:rsidR="002E6EBF" w:rsidRDefault="00863448">
      <w:pPr>
        <w:spacing w:before="0" w:after="0" w:line="240" w:lineRule="auto"/>
        <w:rPr>
          <w:rFonts w:asciiTheme="minorHAnsi" w:hAnsiTheme="minorHAnsi" w:cstheme="minorHAnsi"/>
        </w:rPr>
      </w:pPr>
      <w:r>
        <w:rPr>
          <w:rFonts w:asciiTheme="minorHAnsi" w:hAnsiTheme="minorHAnsi" w:cstheme="minorHAnsi"/>
        </w:rPr>
        <w:t xml:space="preserve">The subject of the contract is </w:t>
      </w:r>
      <w:r>
        <w:rPr>
          <w:rFonts w:asciiTheme="minorHAnsi" w:hAnsiTheme="minorHAnsi" w:cstheme="minorHAnsi"/>
          <w:b/>
        </w:rPr>
        <w:t xml:space="preserve">the revision </w:t>
      </w:r>
      <w:r>
        <w:rPr>
          <w:rFonts w:asciiTheme="minorHAnsi" w:hAnsiTheme="minorHAnsi" w:cstheme="minorHAnsi"/>
        </w:rPr>
        <w:t>oz. verification of traffic flow forecasts for 2020, 2030 and 2040 for the scenario WITH and WITHOUT the investment used in ŠU. It is necessary to check:</w:t>
      </w:r>
    </w:p>
    <w:p w14:paraId="68F93D1C" w14:textId="77777777" w:rsidR="002E6EBF" w:rsidRDefault="00863448">
      <w:pPr>
        <w:pStyle w:val="Odstavekseznama"/>
        <w:numPr>
          <w:ilvl w:val="0"/>
          <w:numId w:val="20"/>
        </w:numPr>
        <w:spacing w:after="0" w:line="240" w:lineRule="auto"/>
        <w:jc w:val="both"/>
        <w:rPr>
          <w:rFonts w:cstheme="minorHAnsi"/>
        </w:rPr>
      </w:pPr>
      <w:r>
        <w:rPr>
          <w:rFonts w:cstheme="minorHAnsi"/>
        </w:rPr>
        <w:t>methodology, assumptions and reliability of trade flows forecasting,</w:t>
      </w:r>
    </w:p>
    <w:p w14:paraId="3CAA4B0A" w14:textId="6640301B" w:rsidR="002E6EBF" w:rsidRDefault="00863448">
      <w:pPr>
        <w:pStyle w:val="Odstavekseznama"/>
        <w:numPr>
          <w:ilvl w:val="0"/>
          <w:numId w:val="19"/>
        </w:numPr>
        <w:spacing w:after="0" w:line="240" w:lineRule="auto"/>
        <w:jc w:val="both"/>
        <w:rPr>
          <w:rFonts w:cstheme="minorHAnsi"/>
        </w:rPr>
      </w:pPr>
      <w:r>
        <w:rPr>
          <w:rFonts w:cstheme="minorHAnsi"/>
        </w:rPr>
        <w:t>distribution of traffic between the road (</w:t>
      </w:r>
      <w:r w:rsidR="00DC067A">
        <w:rPr>
          <w:rFonts w:cstheme="minorHAnsi"/>
        </w:rPr>
        <w:t>MW</w:t>
      </w:r>
      <w:r>
        <w:rPr>
          <w:rFonts w:cstheme="minorHAnsi"/>
        </w:rPr>
        <w:t>) and the railway,</w:t>
      </w:r>
    </w:p>
    <w:p w14:paraId="6C0D9FBD" w14:textId="2861A16A" w:rsidR="002E6EBF" w:rsidRDefault="00863448">
      <w:pPr>
        <w:pStyle w:val="Odstavekseznama"/>
        <w:numPr>
          <w:ilvl w:val="0"/>
          <w:numId w:val="19"/>
        </w:numPr>
        <w:spacing w:after="0" w:line="240" w:lineRule="auto"/>
        <w:jc w:val="both"/>
        <w:rPr>
          <w:rFonts w:cstheme="minorHAnsi"/>
        </w:rPr>
      </w:pPr>
      <w:r>
        <w:rPr>
          <w:rFonts w:cstheme="minorHAnsi"/>
        </w:rPr>
        <w:t xml:space="preserve">distribution of traffic between port groups across Europe, </w:t>
      </w:r>
    </w:p>
    <w:p w14:paraId="61B5FF15" w14:textId="478259FE" w:rsidR="002E6EBF" w:rsidRDefault="00863448">
      <w:pPr>
        <w:pStyle w:val="Odstavekseznama"/>
        <w:numPr>
          <w:ilvl w:val="0"/>
          <w:numId w:val="19"/>
        </w:numPr>
        <w:spacing w:after="0" w:line="240" w:lineRule="auto"/>
        <w:jc w:val="both"/>
        <w:rPr>
          <w:rFonts w:cstheme="minorHAnsi"/>
        </w:rPr>
      </w:pPr>
      <w:r>
        <w:rPr>
          <w:rFonts w:cstheme="minorHAnsi"/>
        </w:rPr>
        <w:t xml:space="preserve">distribution of traffic between Northern Adriatic ports (NAPA) </w:t>
      </w:r>
    </w:p>
    <w:p w14:paraId="1E07B859" w14:textId="0A65B07F" w:rsidR="002E6EBF" w:rsidRDefault="00863448">
      <w:pPr>
        <w:pStyle w:val="Odstavekseznama"/>
        <w:numPr>
          <w:ilvl w:val="0"/>
          <w:numId w:val="19"/>
        </w:numPr>
        <w:spacing w:after="0" w:line="240" w:lineRule="auto"/>
        <w:jc w:val="both"/>
        <w:rPr>
          <w:rFonts w:cstheme="minorHAnsi"/>
        </w:rPr>
      </w:pPr>
      <w:r>
        <w:rPr>
          <w:rFonts w:cstheme="minorHAnsi"/>
        </w:rPr>
        <w:t>The results of the analysis of the price elasticity of the demand due to the introduction of new additions to the use of infrastructure, namely increased railway charges</w:t>
      </w:r>
      <w:r w:rsidR="000A01D0">
        <w:rPr>
          <w:rFonts w:cstheme="minorHAnsi"/>
        </w:rPr>
        <w:t xml:space="preserve"> (railway mark-up)</w:t>
      </w:r>
      <w:r>
        <w:rPr>
          <w:rFonts w:cstheme="minorHAnsi"/>
        </w:rPr>
        <w:t xml:space="preserve">, </w:t>
      </w:r>
      <w:r w:rsidR="000A01D0">
        <w:rPr>
          <w:rFonts w:cstheme="minorHAnsi"/>
        </w:rPr>
        <w:t xml:space="preserve">highway </w:t>
      </w:r>
      <w:r>
        <w:rPr>
          <w:rFonts w:cstheme="minorHAnsi"/>
        </w:rPr>
        <w:t>toll</w:t>
      </w:r>
      <w:r w:rsidR="000A01D0">
        <w:rPr>
          <w:rFonts w:cstheme="minorHAnsi"/>
        </w:rPr>
        <w:t xml:space="preserve"> mark up (highway mark-up)</w:t>
      </w:r>
      <w:r>
        <w:rPr>
          <w:rFonts w:cstheme="minorHAnsi"/>
        </w:rPr>
        <w:t xml:space="preserve"> and </w:t>
      </w:r>
      <w:r w:rsidR="000A01D0">
        <w:rPr>
          <w:rFonts w:cstheme="minorHAnsi"/>
        </w:rPr>
        <w:t xml:space="preserve">port tax applied to cargo </w:t>
      </w:r>
      <w:proofErr w:type="gramStart"/>
      <w:r w:rsidR="000A01D0">
        <w:rPr>
          <w:rFonts w:cstheme="minorHAnsi"/>
        </w:rPr>
        <w:t xml:space="preserve">in </w:t>
      </w:r>
      <w:r>
        <w:rPr>
          <w:rFonts w:cstheme="minorHAnsi"/>
        </w:rPr>
        <w:t xml:space="preserve"> </w:t>
      </w:r>
      <w:r w:rsidR="000A01D0">
        <w:rPr>
          <w:rFonts w:cstheme="minorHAnsi"/>
        </w:rPr>
        <w:t>P</w:t>
      </w:r>
      <w:r>
        <w:rPr>
          <w:rFonts w:cstheme="minorHAnsi"/>
        </w:rPr>
        <w:t>ort</w:t>
      </w:r>
      <w:proofErr w:type="gramEnd"/>
      <w:r>
        <w:rPr>
          <w:rFonts w:cstheme="minorHAnsi"/>
        </w:rPr>
        <w:t xml:space="preserve"> of Koper.</w:t>
      </w:r>
    </w:p>
    <w:p w14:paraId="29380181" w14:textId="77777777" w:rsidR="002E6EBF" w:rsidRDefault="00863448">
      <w:pPr>
        <w:pStyle w:val="Odstavekseznama"/>
        <w:numPr>
          <w:ilvl w:val="0"/>
          <w:numId w:val="19"/>
        </w:numPr>
        <w:spacing w:after="0" w:line="240" w:lineRule="auto"/>
        <w:jc w:val="both"/>
        <w:rPr>
          <w:rFonts w:cstheme="minorHAnsi"/>
        </w:rPr>
      </w:pPr>
      <w:r>
        <w:rPr>
          <w:rFonts w:cstheme="minorHAnsi"/>
        </w:rPr>
        <w:t>Impact of traffic forecasts on financial model, CBA, sensitivity and risk analysis</w:t>
      </w:r>
    </w:p>
    <w:p w14:paraId="649E7D2A" w14:textId="77777777" w:rsidR="002E6EBF" w:rsidRDefault="002E6EBF">
      <w:pPr>
        <w:pStyle w:val="Odstavekseznama"/>
        <w:spacing w:after="0" w:line="240" w:lineRule="auto"/>
        <w:jc w:val="both"/>
        <w:rPr>
          <w:rFonts w:cstheme="minorHAnsi"/>
        </w:rPr>
      </w:pPr>
    </w:p>
    <w:p w14:paraId="103A9B0F" w14:textId="77777777" w:rsidR="002E6EBF" w:rsidRDefault="00863448">
      <w:pPr>
        <w:rPr>
          <w:rFonts w:asciiTheme="minorHAnsi" w:hAnsiTheme="minorHAnsi" w:cstheme="minorHAnsi"/>
        </w:rPr>
      </w:pPr>
      <w:r>
        <w:rPr>
          <w:rFonts w:asciiTheme="minorHAnsi" w:hAnsiTheme="minorHAnsi" w:cstheme="minorHAnsi"/>
        </w:rPr>
        <w:t>The project task requires a comprehensive review of the transport model, the conclusions of which were used as input data to the economic / financial model sent to the EIB in May 2018, including its methodology and input data. The review must contain a reasoned opinion regarding the following:</w:t>
      </w:r>
    </w:p>
    <w:p w14:paraId="335B4632" w14:textId="7A30BA25" w:rsidR="002E6EBF" w:rsidRDefault="007636AA">
      <w:pPr>
        <w:pStyle w:val="Odstavekseznama"/>
        <w:numPr>
          <w:ilvl w:val="1"/>
          <w:numId w:val="30"/>
        </w:numPr>
        <w:spacing w:after="0" w:line="240" w:lineRule="auto"/>
        <w:contextualSpacing w:val="0"/>
        <w:rPr>
          <w:rFonts w:cstheme="minorHAnsi"/>
        </w:rPr>
      </w:pPr>
      <w:r>
        <w:rPr>
          <w:rFonts w:cstheme="minorHAnsi"/>
        </w:rPr>
        <w:t xml:space="preserve">the </w:t>
      </w:r>
      <w:r w:rsidR="00863448">
        <w:rPr>
          <w:rFonts w:cstheme="minorHAnsi"/>
        </w:rPr>
        <w:t>input</w:t>
      </w:r>
      <w:r>
        <w:rPr>
          <w:rFonts w:cstheme="minorHAnsi"/>
        </w:rPr>
        <w:t>s</w:t>
      </w:r>
      <w:r w:rsidR="00863448">
        <w:rPr>
          <w:rFonts w:cstheme="minorHAnsi"/>
        </w:rPr>
        <w:t xml:space="preserve"> data / operation</w:t>
      </w:r>
      <w:r w:rsidR="009A30A6">
        <w:rPr>
          <w:rFonts w:cstheme="minorHAnsi"/>
        </w:rPr>
        <w:t xml:space="preserve"> (working</w:t>
      </w:r>
      <w:r>
        <w:rPr>
          <w:rFonts w:cstheme="minorHAnsi"/>
        </w:rPr>
        <w:t>s</w:t>
      </w:r>
      <w:r w:rsidR="009A30A6">
        <w:rPr>
          <w:rFonts w:cstheme="minorHAnsi"/>
        </w:rPr>
        <w:t>)</w:t>
      </w:r>
      <w:r w:rsidR="00863448">
        <w:rPr>
          <w:rFonts w:cstheme="minorHAnsi"/>
        </w:rPr>
        <w:t xml:space="preserve"> / </w:t>
      </w:r>
      <w:r w:rsidR="009A30A6">
        <w:rPr>
          <w:rFonts w:cstheme="minorHAnsi"/>
        </w:rPr>
        <w:t xml:space="preserve">outputs </w:t>
      </w:r>
      <w:r w:rsidR="00863448">
        <w:rPr>
          <w:rFonts w:cstheme="minorHAnsi"/>
        </w:rPr>
        <w:t>of PNZ model,</w:t>
      </w:r>
    </w:p>
    <w:p w14:paraId="4FA0CB66" w14:textId="3A621E9E" w:rsidR="002E6EBF" w:rsidRDefault="009A30A6">
      <w:pPr>
        <w:pStyle w:val="Odstavekseznama"/>
        <w:numPr>
          <w:ilvl w:val="1"/>
          <w:numId w:val="30"/>
        </w:numPr>
        <w:spacing w:after="0" w:line="240" w:lineRule="auto"/>
        <w:contextualSpacing w:val="0"/>
        <w:rPr>
          <w:rFonts w:cstheme="minorHAnsi"/>
        </w:rPr>
      </w:pPr>
      <w:r>
        <w:rPr>
          <w:rFonts w:cstheme="minorHAnsi"/>
        </w:rPr>
        <w:t xml:space="preserve">key </w:t>
      </w:r>
      <w:r w:rsidR="00863448">
        <w:rPr>
          <w:rFonts w:cstheme="minorHAnsi"/>
        </w:rPr>
        <w:t>assumptions, including longer network capacities / constraints of the model produced by PNZ,</w:t>
      </w:r>
    </w:p>
    <w:p w14:paraId="66A7DCB9" w14:textId="613D72EE" w:rsidR="002E6EBF" w:rsidRDefault="007636AA">
      <w:pPr>
        <w:pStyle w:val="Odstavekseznama"/>
        <w:numPr>
          <w:ilvl w:val="1"/>
          <w:numId w:val="30"/>
        </w:numPr>
        <w:spacing w:after="0" w:line="240" w:lineRule="auto"/>
        <w:contextualSpacing w:val="0"/>
        <w:rPr>
          <w:rFonts w:cstheme="minorHAnsi"/>
        </w:rPr>
      </w:pPr>
      <w:r>
        <w:rPr>
          <w:rFonts w:cstheme="minorHAnsi"/>
        </w:rPr>
        <w:t xml:space="preserve">the </w:t>
      </w:r>
      <w:r w:rsidR="00863448">
        <w:rPr>
          <w:rFonts w:cstheme="minorHAnsi"/>
        </w:rPr>
        <w:t>input</w:t>
      </w:r>
      <w:r>
        <w:rPr>
          <w:rFonts w:cstheme="minorHAnsi"/>
        </w:rPr>
        <w:t>s</w:t>
      </w:r>
      <w:r w:rsidR="00863448">
        <w:rPr>
          <w:rFonts w:cstheme="minorHAnsi"/>
        </w:rPr>
        <w:t xml:space="preserve"> data / </w:t>
      </w:r>
      <w:r>
        <w:rPr>
          <w:rFonts w:cstheme="minorHAnsi"/>
        </w:rPr>
        <w:t xml:space="preserve">outputs </w:t>
      </w:r>
      <w:r w:rsidR="00863448">
        <w:rPr>
          <w:rFonts w:cstheme="minorHAnsi"/>
        </w:rPr>
        <w:t xml:space="preserve">obtained from the </w:t>
      </w:r>
      <w:proofErr w:type="spellStart"/>
      <w:r w:rsidR="00863448">
        <w:rPr>
          <w:rFonts w:cstheme="minorHAnsi"/>
        </w:rPr>
        <w:t>transmodal</w:t>
      </w:r>
      <w:proofErr w:type="spellEnd"/>
      <w:r w:rsidR="00863448">
        <w:rPr>
          <w:rFonts w:cstheme="minorHAnsi"/>
        </w:rPr>
        <w:t xml:space="preserve"> model produced by MDS,</w:t>
      </w:r>
    </w:p>
    <w:p w14:paraId="50CB88C9" w14:textId="19A6D534" w:rsidR="002E6EBF" w:rsidRDefault="00863448">
      <w:pPr>
        <w:pStyle w:val="Odstavekseznama"/>
        <w:numPr>
          <w:ilvl w:val="1"/>
          <w:numId w:val="30"/>
        </w:numPr>
        <w:spacing w:after="0" w:line="240" w:lineRule="auto"/>
        <w:contextualSpacing w:val="0"/>
        <w:rPr>
          <w:rFonts w:cstheme="minorHAnsi"/>
        </w:rPr>
      </w:pPr>
      <w:r>
        <w:rPr>
          <w:rFonts w:cstheme="minorHAnsi"/>
        </w:rPr>
        <w:lastRenderedPageBreak/>
        <w:t xml:space="preserve">appropriate use of the </w:t>
      </w:r>
      <w:r w:rsidR="008022E6">
        <w:rPr>
          <w:rFonts w:cstheme="minorHAnsi"/>
        </w:rPr>
        <w:t xml:space="preserve">outputs </w:t>
      </w:r>
      <w:r>
        <w:rPr>
          <w:rFonts w:cstheme="minorHAnsi"/>
        </w:rPr>
        <w:t xml:space="preserve">of the </w:t>
      </w:r>
      <w:r w:rsidR="007636AA">
        <w:rPr>
          <w:rFonts w:cstheme="minorHAnsi"/>
        </w:rPr>
        <w:t xml:space="preserve">MDS's </w:t>
      </w:r>
      <w:proofErr w:type="spellStart"/>
      <w:r>
        <w:rPr>
          <w:rFonts w:cstheme="minorHAnsi"/>
        </w:rPr>
        <w:t>transmodal</w:t>
      </w:r>
      <w:proofErr w:type="spellEnd"/>
      <w:r>
        <w:rPr>
          <w:rFonts w:cstheme="minorHAnsi"/>
        </w:rPr>
        <w:t xml:space="preserve"> model in other models that were used to </w:t>
      </w:r>
      <w:r w:rsidR="007636AA">
        <w:rPr>
          <w:rFonts w:cstheme="minorHAnsi"/>
        </w:rPr>
        <w:t>forecast</w:t>
      </w:r>
      <w:r>
        <w:rPr>
          <w:rFonts w:cstheme="minorHAnsi"/>
        </w:rPr>
        <w:t xml:space="preserve"> demand for the Second Track</w:t>
      </w:r>
      <w:r w:rsidR="007636AA">
        <w:rPr>
          <w:rFonts w:cstheme="minorHAnsi"/>
        </w:rPr>
        <w:t xml:space="preserve"> rail</w:t>
      </w:r>
      <w:r>
        <w:rPr>
          <w:rFonts w:cstheme="minorHAnsi"/>
        </w:rPr>
        <w:t xml:space="preserve"> project,</w:t>
      </w:r>
    </w:p>
    <w:p w14:paraId="2B4B7038" w14:textId="2A1AEEB8" w:rsidR="002E6EBF" w:rsidRDefault="00863448">
      <w:pPr>
        <w:pStyle w:val="Odstavekseznama"/>
        <w:numPr>
          <w:ilvl w:val="1"/>
          <w:numId w:val="30"/>
        </w:numPr>
        <w:spacing w:after="0" w:line="240" w:lineRule="auto"/>
        <w:contextualSpacing w:val="0"/>
        <w:rPr>
          <w:rFonts w:cstheme="minorHAnsi"/>
        </w:rPr>
      </w:pPr>
      <w:r>
        <w:rPr>
          <w:rFonts w:cstheme="minorHAnsi"/>
        </w:rPr>
        <w:t>the proper use of traffic forecasts in the financial model and cost-benefit analysis (CBA),</w:t>
      </w:r>
    </w:p>
    <w:p w14:paraId="081CEF16" w14:textId="304DF88B" w:rsidR="002E6EBF" w:rsidRDefault="00863448">
      <w:pPr>
        <w:pStyle w:val="Odstavekseznama"/>
        <w:numPr>
          <w:ilvl w:val="1"/>
          <w:numId w:val="30"/>
        </w:numPr>
        <w:spacing w:after="0" w:line="240" w:lineRule="auto"/>
        <w:contextualSpacing w:val="0"/>
        <w:rPr>
          <w:rFonts w:cstheme="minorHAnsi"/>
        </w:rPr>
      </w:pPr>
      <w:r>
        <w:rPr>
          <w:rFonts w:cstheme="minorHAnsi"/>
        </w:rPr>
        <w:t xml:space="preserve">sensitivity / risk analysis </w:t>
      </w:r>
      <w:r w:rsidR="009A30A6">
        <w:rPr>
          <w:rFonts w:cstheme="minorHAnsi"/>
        </w:rPr>
        <w:t xml:space="preserve">performed </w:t>
      </w:r>
      <w:r>
        <w:rPr>
          <w:rFonts w:cstheme="minorHAnsi"/>
        </w:rPr>
        <w:t xml:space="preserve">in the traffic forecast and its appropriate use in the financial model and cost-benefit analysis (CBA). </w:t>
      </w:r>
    </w:p>
    <w:p w14:paraId="5517A8BF" w14:textId="3A44BF5E" w:rsidR="002E6EBF" w:rsidRDefault="00863448">
      <w:pPr>
        <w:rPr>
          <w:rFonts w:asciiTheme="minorHAnsi" w:hAnsiTheme="minorHAnsi" w:cstheme="minorHAnsi"/>
        </w:rPr>
      </w:pPr>
      <w:r>
        <w:rPr>
          <w:rFonts w:asciiTheme="minorHAnsi" w:hAnsiTheme="minorHAnsi" w:cstheme="minorHAnsi"/>
        </w:rPr>
        <w:t xml:space="preserve">The consultant may also give an opinion on any significant changes in external circumstances and their consequences since the creation of the </w:t>
      </w:r>
      <w:r w:rsidR="000A01D0">
        <w:rPr>
          <w:rFonts w:asciiTheme="minorHAnsi" w:hAnsiTheme="minorHAnsi" w:cstheme="minorHAnsi"/>
        </w:rPr>
        <w:t xml:space="preserve">traffic </w:t>
      </w:r>
      <w:r>
        <w:rPr>
          <w:rFonts w:asciiTheme="minorHAnsi" w:hAnsiTheme="minorHAnsi" w:cstheme="minorHAnsi"/>
        </w:rPr>
        <w:t>model several years ago.</w:t>
      </w:r>
    </w:p>
    <w:p w14:paraId="0A3D007A" w14:textId="2D1A05DE" w:rsidR="002E6EBF" w:rsidRDefault="002E6EBF">
      <w:pPr>
        <w:spacing w:before="0" w:after="0" w:line="240" w:lineRule="auto"/>
        <w:rPr>
          <w:rFonts w:asciiTheme="minorHAnsi" w:hAnsiTheme="minorHAnsi" w:cstheme="minorHAnsi"/>
        </w:rPr>
      </w:pPr>
    </w:p>
    <w:p w14:paraId="614800D1" w14:textId="60221A5D" w:rsidR="002E6EBF" w:rsidRDefault="00863448">
      <w:pPr>
        <w:spacing w:before="0" w:after="0" w:line="240" w:lineRule="auto"/>
        <w:rPr>
          <w:rFonts w:asciiTheme="minorHAnsi" w:hAnsiTheme="minorHAnsi" w:cstheme="minorHAnsi"/>
          <w:b/>
          <w:u w:val="single"/>
        </w:rPr>
      </w:pPr>
      <w:r>
        <w:rPr>
          <w:rFonts w:asciiTheme="minorHAnsi" w:hAnsiTheme="minorHAnsi" w:cstheme="minorHAnsi"/>
          <w:b/>
          <w:u w:val="single"/>
        </w:rPr>
        <w:t>BASIC STARTING POINTS FOR SUBJECT ORDER CONTRACT</w:t>
      </w:r>
    </w:p>
    <w:p w14:paraId="22542A1E" w14:textId="7C29B754" w:rsidR="002E6EBF" w:rsidRDefault="00863448">
      <w:pPr>
        <w:spacing w:before="0" w:after="0" w:line="240" w:lineRule="auto"/>
        <w:rPr>
          <w:rFonts w:asciiTheme="minorHAnsi" w:hAnsiTheme="minorHAnsi" w:cstheme="minorHAnsi"/>
        </w:rPr>
      </w:pPr>
      <w:r>
        <w:rPr>
          <w:rFonts w:asciiTheme="minorHAnsi" w:hAnsiTheme="minorHAnsi" w:cstheme="minorHAnsi"/>
        </w:rPr>
        <w:t xml:space="preserve">The basis for this contract is the Investment Feasibility Study Second Track </w:t>
      </w:r>
      <w:proofErr w:type="spellStart"/>
      <w:r>
        <w:rPr>
          <w:rFonts w:asciiTheme="minorHAnsi" w:hAnsiTheme="minorHAnsi" w:cstheme="minorHAnsi"/>
        </w:rPr>
        <w:t>Divača</w:t>
      </w:r>
      <w:proofErr w:type="spellEnd"/>
      <w:r>
        <w:rPr>
          <w:rFonts w:asciiTheme="minorHAnsi" w:hAnsiTheme="minorHAnsi" w:cstheme="minorHAnsi"/>
        </w:rPr>
        <w:t xml:space="preserve"> - Koper, Deloitte, February 2019, based on the following studies</w:t>
      </w:r>
      <w:r w:rsidR="008E3ADA">
        <w:rPr>
          <w:rFonts w:asciiTheme="minorHAnsi" w:hAnsiTheme="minorHAnsi" w:cstheme="minorHAnsi"/>
        </w:rPr>
        <w:t xml:space="preserve"> and analysis</w:t>
      </w:r>
      <w:r>
        <w:rPr>
          <w:rFonts w:asciiTheme="minorHAnsi" w:hAnsiTheme="minorHAnsi" w:cstheme="minorHAnsi"/>
        </w:rPr>
        <w:t>:</w:t>
      </w:r>
    </w:p>
    <w:p w14:paraId="11E092B9" w14:textId="77777777" w:rsidR="002E6EBF" w:rsidRDefault="00863448">
      <w:pPr>
        <w:pStyle w:val="Odstavekseznama"/>
        <w:numPr>
          <w:ilvl w:val="0"/>
          <w:numId w:val="19"/>
        </w:numPr>
        <w:spacing w:after="0" w:line="240" w:lineRule="auto"/>
        <w:jc w:val="both"/>
        <w:rPr>
          <w:rFonts w:cstheme="minorHAnsi"/>
        </w:rPr>
      </w:pPr>
      <w:r>
        <w:rPr>
          <w:rFonts w:cstheme="minorHAnsi"/>
        </w:rPr>
        <w:t xml:space="preserve">MDS </w:t>
      </w:r>
      <w:proofErr w:type="spellStart"/>
      <w:r>
        <w:rPr>
          <w:rFonts w:cstheme="minorHAnsi"/>
        </w:rPr>
        <w:t>Transmodal</w:t>
      </w:r>
      <w:proofErr w:type="spellEnd"/>
      <w:r>
        <w:rPr>
          <w:rFonts w:cstheme="minorHAnsi"/>
        </w:rPr>
        <w:t>. 2016. Demand forecasts for the doubling of the Koper-</w:t>
      </w:r>
      <w:proofErr w:type="spellStart"/>
      <w:r>
        <w:rPr>
          <w:rFonts w:cstheme="minorHAnsi"/>
        </w:rPr>
        <w:t>Divača</w:t>
      </w:r>
      <w:proofErr w:type="spellEnd"/>
      <w:r>
        <w:rPr>
          <w:rFonts w:cstheme="minorHAnsi"/>
        </w:rPr>
        <w:t xml:space="preserve"> railway line.</w:t>
      </w:r>
    </w:p>
    <w:p w14:paraId="6F69842B" w14:textId="77777777" w:rsidR="002E6EBF" w:rsidRDefault="00863448">
      <w:pPr>
        <w:pStyle w:val="Odstavekseznama"/>
        <w:numPr>
          <w:ilvl w:val="0"/>
          <w:numId w:val="19"/>
        </w:numPr>
        <w:spacing w:after="0" w:line="240" w:lineRule="auto"/>
        <w:jc w:val="both"/>
        <w:rPr>
          <w:rFonts w:cstheme="minorHAnsi"/>
        </w:rPr>
      </w:pPr>
      <w:r>
        <w:rPr>
          <w:rFonts w:cstheme="minorHAnsi"/>
        </w:rPr>
        <w:t xml:space="preserve">MDS </w:t>
      </w:r>
      <w:proofErr w:type="spellStart"/>
      <w:r>
        <w:rPr>
          <w:rFonts w:cstheme="minorHAnsi"/>
        </w:rPr>
        <w:t>transmodal</w:t>
      </w:r>
      <w:proofErr w:type="spellEnd"/>
      <w:r>
        <w:rPr>
          <w:rFonts w:cstheme="minorHAnsi"/>
        </w:rPr>
        <w:t>. 2017. Demand forecasts to 2040 for the doubling of the Koper-</w:t>
      </w:r>
      <w:proofErr w:type="spellStart"/>
      <w:r>
        <w:rPr>
          <w:rFonts w:cstheme="minorHAnsi"/>
        </w:rPr>
        <w:t>Divača</w:t>
      </w:r>
      <w:proofErr w:type="spellEnd"/>
      <w:r>
        <w:rPr>
          <w:rFonts w:cstheme="minorHAnsi"/>
        </w:rPr>
        <w:t xml:space="preserve"> railway line.</w:t>
      </w:r>
    </w:p>
    <w:p w14:paraId="3E0051F8" w14:textId="77777777" w:rsidR="002E6EBF" w:rsidRDefault="00863448">
      <w:pPr>
        <w:pStyle w:val="Odstavekseznama"/>
        <w:numPr>
          <w:ilvl w:val="0"/>
          <w:numId w:val="19"/>
        </w:numPr>
        <w:spacing w:after="0" w:line="240" w:lineRule="auto"/>
        <w:jc w:val="both"/>
        <w:rPr>
          <w:rFonts w:cstheme="minorHAnsi"/>
        </w:rPr>
      </w:pPr>
      <w:r>
        <w:rPr>
          <w:rFonts w:cstheme="minorHAnsi"/>
        </w:rPr>
        <w:t xml:space="preserve">MDS </w:t>
      </w:r>
      <w:proofErr w:type="spellStart"/>
      <w:r>
        <w:rPr>
          <w:rFonts w:cstheme="minorHAnsi"/>
        </w:rPr>
        <w:t>Transmodal</w:t>
      </w:r>
      <w:proofErr w:type="spellEnd"/>
      <w:r>
        <w:rPr>
          <w:rFonts w:cstheme="minorHAnsi"/>
        </w:rPr>
        <w:t xml:space="preserve"> Limited. 2012. NAPA: Market study on the potential cargo capacity of the North Adriatic ports system in the container sector, Final Report.</w:t>
      </w:r>
    </w:p>
    <w:p w14:paraId="2D5563BF" w14:textId="77777777" w:rsidR="002E6EBF" w:rsidRDefault="00863448">
      <w:pPr>
        <w:pStyle w:val="Odstavekseznama"/>
        <w:numPr>
          <w:ilvl w:val="0"/>
          <w:numId w:val="19"/>
        </w:numPr>
        <w:spacing w:after="0" w:line="240" w:lineRule="auto"/>
        <w:jc w:val="both"/>
        <w:rPr>
          <w:rFonts w:cstheme="minorHAnsi"/>
        </w:rPr>
      </w:pPr>
      <w:r>
        <w:rPr>
          <w:rFonts w:cstheme="minorHAnsi"/>
        </w:rPr>
        <w:t xml:space="preserve">PNZ </w:t>
      </w:r>
      <w:proofErr w:type="spellStart"/>
      <w:r>
        <w:rPr>
          <w:rFonts w:cstheme="minorHAnsi"/>
        </w:rPr>
        <w:t>svetovanje</w:t>
      </w:r>
      <w:proofErr w:type="spellEnd"/>
      <w:r>
        <w:rPr>
          <w:rFonts w:cstheme="minorHAnsi"/>
        </w:rPr>
        <w:t xml:space="preserve"> </w:t>
      </w:r>
      <w:proofErr w:type="spellStart"/>
      <w:r>
        <w:rPr>
          <w:rFonts w:cstheme="minorHAnsi"/>
        </w:rPr>
        <w:t>projektiranje</w:t>
      </w:r>
      <w:proofErr w:type="spellEnd"/>
      <w:r>
        <w:rPr>
          <w:rFonts w:cstheme="minorHAnsi"/>
        </w:rPr>
        <w:t xml:space="preserve"> d.o.o. November 2016. Demand study for project </w:t>
      </w:r>
      <w:proofErr w:type="spellStart"/>
      <w:r>
        <w:rPr>
          <w:rFonts w:cstheme="minorHAnsi"/>
        </w:rPr>
        <w:t>Divača</w:t>
      </w:r>
      <w:proofErr w:type="spellEnd"/>
      <w:r>
        <w:rPr>
          <w:rFonts w:cstheme="minorHAnsi"/>
        </w:rPr>
        <w:t>-Koper (update).</w:t>
      </w:r>
    </w:p>
    <w:p w14:paraId="3FE06942" w14:textId="713772FD" w:rsidR="002E6EBF" w:rsidRDefault="00863448">
      <w:pPr>
        <w:pStyle w:val="Odstavekseznama"/>
        <w:numPr>
          <w:ilvl w:val="0"/>
          <w:numId w:val="19"/>
        </w:numPr>
        <w:spacing w:after="0" w:line="240" w:lineRule="auto"/>
        <w:jc w:val="both"/>
        <w:rPr>
          <w:rFonts w:cstheme="minorHAnsi"/>
        </w:rPr>
      </w:pPr>
      <w:r>
        <w:rPr>
          <w:rFonts w:cstheme="minorHAnsi"/>
        </w:rPr>
        <w:t xml:space="preserve">PNZ </w:t>
      </w:r>
      <w:proofErr w:type="spellStart"/>
      <w:r>
        <w:rPr>
          <w:rFonts w:cstheme="minorHAnsi"/>
        </w:rPr>
        <w:t>svetovanje</w:t>
      </w:r>
      <w:proofErr w:type="spellEnd"/>
      <w:r>
        <w:rPr>
          <w:rFonts w:cstheme="minorHAnsi"/>
        </w:rPr>
        <w:t xml:space="preserve"> </w:t>
      </w:r>
      <w:proofErr w:type="spellStart"/>
      <w:r>
        <w:rPr>
          <w:rFonts w:cstheme="minorHAnsi"/>
        </w:rPr>
        <w:t>projektiranje</w:t>
      </w:r>
      <w:proofErr w:type="spellEnd"/>
      <w:r>
        <w:rPr>
          <w:rFonts w:cstheme="minorHAnsi"/>
        </w:rPr>
        <w:t xml:space="preserve"> d.o.o. 2015. SENSITIVITY TEST OF FREIGHT FLOWS FOR CONSTRUCTION OF 2ND TRACK DIVAČA-KOPER.</w:t>
      </w:r>
    </w:p>
    <w:p w14:paraId="774342CD" w14:textId="24045D84" w:rsidR="008E3ADA" w:rsidRDefault="008E3ADA">
      <w:pPr>
        <w:pStyle w:val="Odstavekseznama"/>
        <w:numPr>
          <w:ilvl w:val="0"/>
          <w:numId w:val="19"/>
        </w:numPr>
        <w:spacing w:after="0" w:line="240" w:lineRule="auto"/>
        <w:jc w:val="both"/>
        <w:rPr>
          <w:rFonts w:cstheme="minorHAnsi"/>
        </w:rPr>
      </w:pPr>
      <w:r>
        <w:rPr>
          <w:rFonts w:cstheme="minorHAnsi"/>
        </w:rPr>
        <w:t>Financial/economic model (Deloitte) in excel.</w:t>
      </w:r>
    </w:p>
    <w:p w14:paraId="72068860" w14:textId="77777777" w:rsidR="002E6EBF" w:rsidRDefault="002E6EBF">
      <w:pPr>
        <w:spacing w:before="0" w:after="0" w:line="240" w:lineRule="auto"/>
        <w:rPr>
          <w:rFonts w:asciiTheme="minorHAnsi" w:hAnsiTheme="minorHAnsi" w:cstheme="minorHAnsi"/>
        </w:rPr>
      </w:pPr>
    </w:p>
    <w:p w14:paraId="7FAAADB4" w14:textId="68A77472" w:rsidR="002E6EBF" w:rsidRDefault="00863448">
      <w:pPr>
        <w:autoSpaceDE w:val="0"/>
        <w:autoSpaceDN w:val="0"/>
        <w:spacing w:before="0" w:after="0" w:line="240" w:lineRule="auto"/>
        <w:rPr>
          <w:rFonts w:asciiTheme="minorHAnsi" w:hAnsiTheme="minorHAnsi" w:cstheme="minorHAnsi"/>
          <w:b/>
          <w:u w:val="single"/>
        </w:rPr>
      </w:pPr>
      <w:r>
        <w:rPr>
          <w:rFonts w:asciiTheme="minorHAnsi" w:hAnsiTheme="minorHAnsi" w:cstheme="minorHAnsi"/>
          <w:b/>
          <w:u w:val="single"/>
        </w:rPr>
        <w:t xml:space="preserve">DEADLINE </w:t>
      </w:r>
    </w:p>
    <w:p w14:paraId="3BB7D3C7" w14:textId="3EDF5707" w:rsidR="002E6EBF" w:rsidRDefault="00863448">
      <w:pPr>
        <w:spacing w:after="0"/>
        <w:rPr>
          <w:rFonts w:asciiTheme="minorHAnsi" w:hAnsiTheme="minorHAnsi" w:cstheme="minorHAnsi"/>
        </w:rPr>
      </w:pPr>
      <w:r>
        <w:rPr>
          <w:rFonts w:asciiTheme="minorHAnsi" w:hAnsiTheme="minorHAnsi" w:cstheme="minorHAnsi"/>
        </w:rPr>
        <w:t>The deadline for the completion of all contract work is 6 months from the start of the work, taking into account the following interim deadlines:</w:t>
      </w:r>
    </w:p>
    <w:p w14:paraId="16445801" w14:textId="455E1568" w:rsidR="002E6EBF" w:rsidRDefault="00863448">
      <w:pPr>
        <w:pStyle w:val="Odstavekseznama"/>
        <w:numPr>
          <w:ilvl w:val="0"/>
          <w:numId w:val="31"/>
        </w:numPr>
        <w:spacing w:after="0"/>
        <w:jc w:val="both"/>
        <w:rPr>
          <w:rFonts w:cstheme="minorHAnsi"/>
        </w:rPr>
      </w:pPr>
      <w:r>
        <w:rPr>
          <w:rFonts w:cstheme="minorHAnsi"/>
        </w:rPr>
        <w:t>preparation and handover of the interim audit report within 2 months after the start of the work;</w:t>
      </w:r>
    </w:p>
    <w:p w14:paraId="56F0E89E" w14:textId="35C11CE8" w:rsidR="002E6EBF" w:rsidRDefault="00863448">
      <w:pPr>
        <w:pStyle w:val="Odstavekseznama"/>
        <w:numPr>
          <w:ilvl w:val="0"/>
          <w:numId w:val="31"/>
        </w:numPr>
        <w:spacing w:after="0"/>
        <w:jc w:val="both"/>
        <w:rPr>
          <w:rFonts w:cstheme="minorHAnsi"/>
        </w:rPr>
      </w:pPr>
      <w:r>
        <w:rPr>
          <w:rFonts w:cstheme="minorHAnsi"/>
        </w:rPr>
        <w:t>preparation and handover of the final audit report within 3 months after the start of the work;</w:t>
      </w:r>
    </w:p>
    <w:p w14:paraId="7318CF76" w14:textId="10EBF582" w:rsidR="002E6EBF" w:rsidRDefault="00863448">
      <w:pPr>
        <w:pStyle w:val="Odstavekseznama"/>
        <w:numPr>
          <w:ilvl w:val="0"/>
          <w:numId w:val="31"/>
        </w:numPr>
        <w:spacing w:after="0"/>
        <w:jc w:val="both"/>
        <w:rPr>
          <w:rFonts w:cstheme="minorHAnsi"/>
        </w:rPr>
      </w:pPr>
      <w:r>
        <w:rPr>
          <w:rFonts w:cstheme="minorHAnsi"/>
        </w:rPr>
        <w:t>handover of the completed final audit report following comments from the Contracting Entity, the EIB's professional bodies and cooperation with the Contracting Entity in communication with the EIB within 6 months after the start of the work.</w:t>
      </w:r>
    </w:p>
    <w:p w14:paraId="07369F2F" w14:textId="77777777" w:rsidR="002E6EBF" w:rsidRDefault="002E6EBF">
      <w:pPr>
        <w:spacing w:before="0" w:after="0" w:line="240" w:lineRule="auto"/>
        <w:rPr>
          <w:rFonts w:asciiTheme="minorHAnsi" w:hAnsiTheme="minorHAnsi" w:cstheme="minorHAnsi"/>
        </w:rPr>
      </w:pPr>
    </w:p>
    <w:p w14:paraId="1119A690" w14:textId="0A0631D2" w:rsidR="002E6EBF" w:rsidRDefault="00863448">
      <w:pPr>
        <w:rPr>
          <w:b/>
        </w:rPr>
      </w:pPr>
      <w:r>
        <w:rPr>
          <w:b/>
        </w:rPr>
        <w:t>DOCUMENTATION HANDOVER, REPORTING AND COOPERATION WITH THE CONTRACTING ENTITY</w:t>
      </w:r>
    </w:p>
    <w:p w14:paraId="2017962A" w14:textId="304FC8EF" w:rsidR="002E6EBF" w:rsidRDefault="00863448">
      <w:r>
        <w:t>The Contractor is obliged to submit all documents to the Contracting Entity within the deadlines described above. The final audit report will be considered by the EIB's expert bodies. In these procedures, the contractor is obliged to provide all the described consultations within the framework of the subject, to provide the necessary amendments to the documents until the final confirmations.</w:t>
      </w:r>
    </w:p>
    <w:p w14:paraId="43E89768" w14:textId="6AE41BC0" w:rsidR="002E6EBF" w:rsidRDefault="00863448">
      <w:bookmarkStart w:id="0" w:name="_Hlk17292400"/>
      <w:r>
        <w:t xml:space="preserve">The interim and final audit reports shall be submitted by the contractor in the Slovenian and English copies, each document in 10 copies (printed and spiral bound) and in an electronic version. </w:t>
      </w:r>
    </w:p>
    <w:bookmarkEnd w:id="0"/>
    <w:p w14:paraId="4D055BEE" w14:textId="030AFF26" w:rsidR="002E6EBF" w:rsidRDefault="00863448">
      <w:r>
        <w:t>Any changes or additions to the document shall be indicated on the cover page of the document with the date of the change.</w:t>
      </w:r>
    </w:p>
    <w:p w14:paraId="3D980D5A" w14:textId="77777777" w:rsidR="00E50F2F" w:rsidRDefault="00E50F2F">
      <w:pPr>
        <w:spacing w:before="0" w:after="0" w:line="240" w:lineRule="auto"/>
        <w:jc w:val="center"/>
        <w:rPr>
          <w:rFonts w:asciiTheme="minorHAnsi" w:hAnsiTheme="minorHAnsi" w:cstheme="minorHAnsi"/>
        </w:rPr>
      </w:pPr>
    </w:p>
    <w:p w14:paraId="32AC83E1" w14:textId="77777777" w:rsidR="00E50F2F" w:rsidRDefault="00E50F2F">
      <w:pPr>
        <w:spacing w:before="0" w:after="0" w:line="240" w:lineRule="auto"/>
        <w:jc w:val="center"/>
        <w:rPr>
          <w:rFonts w:asciiTheme="minorHAnsi" w:hAnsiTheme="minorHAnsi" w:cstheme="minorHAnsi"/>
        </w:rPr>
      </w:pPr>
    </w:p>
    <w:p w14:paraId="5585903C" w14:textId="61A9303D" w:rsidR="002E6EBF" w:rsidRDefault="00863448">
      <w:pPr>
        <w:spacing w:before="0" w:after="0" w:line="240" w:lineRule="auto"/>
        <w:jc w:val="center"/>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p>
    <w:p w14:paraId="50488E2D" w14:textId="001E06A6" w:rsidR="002E6EBF" w:rsidRDefault="00863448">
      <w:pPr>
        <w:rPr>
          <w:b/>
        </w:rPr>
      </w:pPr>
      <w:r>
        <w:rPr>
          <w:b/>
        </w:rPr>
        <w:lastRenderedPageBreak/>
        <w:t xml:space="preserve">WAY OR TERMS AND CONDITIONS OF EXECUTION OF SERVICES </w:t>
      </w:r>
    </w:p>
    <w:p w14:paraId="0A833D2D" w14:textId="020934B6" w:rsidR="002E6EBF" w:rsidRDefault="00863448">
      <w:pPr>
        <w:spacing w:after="200"/>
      </w:pPr>
      <w:r>
        <w:t xml:space="preserve">Communication with the client will be in Slovene and English language. </w:t>
      </w:r>
      <w:bookmarkStart w:id="1" w:name="_GoBack"/>
      <w:bookmarkEnd w:id="1"/>
    </w:p>
    <w:sectPr w:rsidR="002E6EBF">
      <w:headerReference w:type="default" r:id="rId9"/>
      <w:footerReference w:type="default" r:id="rId10"/>
      <w:headerReference w:type="first" r:id="rId11"/>
      <w:footerReference w:type="first" r:id="rId12"/>
      <w:pgSz w:w="11906" w:h="16838" w:code="9"/>
      <w:pgMar w:top="1418" w:right="1418" w:bottom="1418"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C2B2F" w14:textId="77777777" w:rsidR="00EA0493" w:rsidRDefault="00EA0493">
      <w:pPr>
        <w:spacing w:line="240" w:lineRule="auto"/>
      </w:pPr>
      <w:r>
        <w:separator/>
      </w:r>
    </w:p>
  </w:endnote>
  <w:endnote w:type="continuationSeparator" w:id="0">
    <w:p w14:paraId="494D8B53" w14:textId="77777777" w:rsidR="00EA0493" w:rsidRDefault="00EA04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0501934"/>
      <w:docPartObj>
        <w:docPartGallery w:val="Page Numbers (Bottom of Page)"/>
        <w:docPartUnique/>
      </w:docPartObj>
    </w:sdtPr>
    <w:sdtEndPr>
      <w:rPr>
        <w:rFonts w:cs="Tahoma"/>
        <w:sz w:val="20"/>
      </w:rPr>
    </w:sdtEndPr>
    <w:sdtContent>
      <w:p w14:paraId="07F00DB2" w14:textId="45AFB101" w:rsidR="002E6EBF" w:rsidRDefault="00863448">
        <w:pPr>
          <w:pStyle w:val="Noga"/>
          <w:jc w:val="center"/>
          <w:rPr>
            <w:rFonts w:cs="Tahoma"/>
            <w:sz w:val="20"/>
          </w:rPr>
        </w:pPr>
        <w:r w:rsidRPr="003101CE">
          <w:rPr>
            <w:rFonts w:cs="Tahoma"/>
            <w:sz w:val="20"/>
          </w:rPr>
          <w:fldChar w:fldCharType="begin"/>
        </w:r>
        <w:r w:rsidRPr="003101CE">
          <w:rPr>
            <w:rFonts w:cs="Tahoma"/>
            <w:sz w:val="20"/>
            <w:szCs w:val="20"/>
          </w:rPr>
          <w:instrText>PAGE   \* MERGEFORMAT</w:instrText>
        </w:r>
        <w:r w:rsidRPr="003101CE">
          <w:rPr>
            <w:rFonts w:cs="Tahoma"/>
            <w:sz w:val="20"/>
            <w:szCs w:val="20"/>
          </w:rPr>
          <w:fldChar w:fldCharType="separate"/>
        </w:r>
        <w:r w:rsidR="008022E6">
          <w:rPr>
            <w:rFonts w:cs="Tahoma"/>
            <w:noProof/>
            <w:sz w:val="20"/>
            <w:szCs w:val="20"/>
          </w:rPr>
          <w:t>2</w:t>
        </w:r>
        <w:r w:rsidRPr="003101CE">
          <w:rPr>
            <w:rFonts w:cs="Tahoma"/>
            <w:sz w:val="20"/>
            <w:szCs w:val="20"/>
          </w:rPr>
          <w:fldChar w:fldCharType="end"/>
        </w:r>
      </w:p>
    </w:sdtContent>
  </w:sdt>
  <w:p w14:paraId="1F4A18FE" w14:textId="77777777" w:rsidR="002E6EBF" w:rsidRDefault="002E6EBF">
    <w:pPr>
      <w:pStyle w:val="Noga"/>
    </w:pPr>
  </w:p>
  <w:p w14:paraId="78AD8C01" w14:textId="77777777" w:rsidR="002E6EBF" w:rsidRDefault="002E6EB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38CA8" w14:textId="77777777" w:rsidR="002E6EBF" w:rsidRDefault="002E6EBF">
    <w:pPr>
      <w:pStyle w:val="Noga"/>
      <w:jc w:val="center"/>
    </w:pPr>
  </w:p>
  <w:p w14:paraId="0F47D6E3" w14:textId="77777777" w:rsidR="002E6EBF" w:rsidRDefault="002E6EBF">
    <w:pPr>
      <w:pStyle w:val="Noga"/>
      <w:jc w:val="center"/>
    </w:pPr>
  </w:p>
  <w:p w14:paraId="520B6B60" w14:textId="77777777" w:rsidR="002E6EBF" w:rsidRDefault="00863448">
    <w:pPr>
      <w:pStyle w:val="Noga"/>
      <w:jc w:val="center"/>
    </w:pPr>
    <w:r>
      <w:rPr>
        <w:noProof/>
        <w:lang w:val="sl-SI" w:eastAsia="sl-SI"/>
      </w:rPr>
      <w:drawing>
        <wp:inline distT="0" distB="0" distL="0" distR="0" wp14:anchorId="1B1A67E5" wp14:editId="5F108864">
          <wp:extent cx="5737243" cy="587374"/>
          <wp:effectExtent l="0" t="0" r="0" b="381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2TDK.jpg"/>
                  <pic:cNvPicPr/>
                </pic:nvPicPr>
                <pic:blipFill>
                  <a:blip r:embed="rId1">
                    <a:extLst>
                      <a:ext uri="{28A0092B-C50C-407E-A947-70E740481C1C}">
                        <a14:useLocalDpi xmlns:a14="http://schemas.microsoft.com/office/drawing/2010/main" val="0"/>
                      </a:ext>
                    </a:extLst>
                  </a:blip>
                  <a:stretch>
                    <a:fillRect/>
                  </a:stretch>
                </pic:blipFill>
                <pic:spPr>
                  <a:xfrm>
                    <a:off x="0" y="0"/>
                    <a:ext cx="5737243" cy="587374"/>
                  </a:xfrm>
                  <a:prstGeom prst="rect">
                    <a:avLst/>
                  </a:prstGeom>
                </pic:spPr>
              </pic:pic>
            </a:graphicData>
          </a:graphic>
        </wp:inline>
      </w:drawing>
    </w:r>
  </w:p>
  <w:p w14:paraId="1B232276" w14:textId="77777777" w:rsidR="002E6EBF" w:rsidRDefault="002E6EB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E5AAD" w14:textId="77777777" w:rsidR="00EA0493" w:rsidRDefault="00EA0493">
      <w:pPr>
        <w:spacing w:line="240" w:lineRule="auto"/>
      </w:pPr>
      <w:r>
        <w:separator/>
      </w:r>
    </w:p>
  </w:footnote>
  <w:footnote w:type="continuationSeparator" w:id="0">
    <w:p w14:paraId="6F31A431" w14:textId="77777777" w:rsidR="00EA0493" w:rsidRDefault="00EA049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6BCEA" w14:textId="77777777" w:rsidR="002E6EBF" w:rsidRDefault="00863448">
    <w:pPr>
      <w:pStyle w:val="Glava"/>
      <w:jc w:val="left"/>
    </w:pPr>
    <w:r>
      <w:rPr>
        <w:noProof/>
        <w:lang w:val="sl-SI" w:eastAsia="sl-SI"/>
      </w:rPr>
      <w:drawing>
        <wp:inline distT="0" distB="0" distL="0" distR="0" wp14:anchorId="602CF06C" wp14:editId="37104750">
          <wp:extent cx="722376" cy="155448"/>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p w14:paraId="297A1A73" w14:textId="77777777" w:rsidR="002E6EBF" w:rsidRDefault="002E6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38F9" w14:textId="77777777" w:rsidR="002E6EBF" w:rsidRDefault="00863448">
    <w:pPr>
      <w:pStyle w:val="Glava"/>
      <w:jc w:val="left"/>
    </w:pPr>
    <w:r>
      <w:rPr>
        <w:noProof/>
        <w:lang w:val="sl-SI" w:eastAsia="sl-SI"/>
      </w:rPr>
      <w:drawing>
        <wp:inline distT="0" distB="0" distL="0" distR="0" wp14:anchorId="068C8702" wp14:editId="5823FB04">
          <wp:extent cx="1801368" cy="384048"/>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1368" cy="384048"/>
                  </a:xfrm>
                  <a:prstGeom prst="rect">
                    <a:avLst/>
                  </a:prstGeom>
                </pic:spPr>
              </pic:pic>
            </a:graphicData>
          </a:graphic>
        </wp:inline>
      </w:drawing>
    </w:r>
    <w:r>
      <w:t xml:space="preserve">                           </w:t>
    </w:r>
    <w:r>
      <w:rPr>
        <w:noProof/>
        <w:lang w:val="sl-SI" w:eastAsia="sl-SI"/>
      </w:rPr>
      <w:drawing>
        <wp:inline distT="0" distB="0" distL="0" distR="0" wp14:anchorId="7761B77E" wp14:editId="7AC96451">
          <wp:extent cx="3026173" cy="533400"/>
          <wp:effectExtent l="0" t="0" r="0" b="0"/>
          <wp:docPr id="1" name="Slika 1" descr="https://ec.europa.eu/inea/sites/inea/files/ceflogos/sl_horizontal_cef_logo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c.europa.eu/inea/sites/inea/files/ceflogos/sl_horizontal_cef_logo_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88256" cy="544343"/>
                  </a:xfrm>
                  <a:prstGeom prst="rect">
                    <a:avLst/>
                  </a:prstGeom>
                  <a:noFill/>
                  <a:ln>
                    <a:noFill/>
                  </a:ln>
                </pic:spPr>
              </pic:pic>
            </a:graphicData>
          </a:graphic>
        </wp:inline>
      </w:drawing>
    </w:r>
  </w:p>
  <w:p w14:paraId="0531823A" w14:textId="77777777" w:rsidR="002E6EBF" w:rsidRDefault="002E6E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B62"/>
    <w:multiLevelType w:val="hybridMultilevel"/>
    <w:tmpl w:val="A8569FA4"/>
    <w:lvl w:ilvl="0" w:tplc="AFB2AF2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331342"/>
    <w:multiLevelType w:val="hybridMultilevel"/>
    <w:tmpl w:val="1C8C9764"/>
    <w:lvl w:ilvl="0" w:tplc="B1E8B6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576F85"/>
    <w:multiLevelType w:val="hybridMultilevel"/>
    <w:tmpl w:val="9ACC1482"/>
    <w:lvl w:ilvl="0" w:tplc="B4325EDC">
      <w:numFmt w:val="bullet"/>
      <w:lvlText w:val="-"/>
      <w:lvlJc w:val="left"/>
      <w:pPr>
        <w:ind w:left="1068" w:hanging="360"/>
      </w:pPr>
      <w:rPr>
        <w:rFonts w:ascii="Calibri" w:eastAsiaTheme="minorHAns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143903DB"/>
    <w:multiLevelType w:val="hybridMultilevel"/>
    <w:tmpl w:val="1B806C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E47E41"/>
    <w:multiLevelType w:val="hybridMultilevel"/>
    <w:tmpl w:val="A5680C20"/>
    <w:lvl w:ilvl="0" w:tplc="8D5C73A8">
      <w:start w:val="1"/>
      <w:numFmt w:val="bullet"/>
      <w:lvlText w:val="•"/>
      <w:lvlJc w:val="left"/>
      <w:pPr>
        <w:tabs>
          <w:tab w:val="num" w:pos="720"/>
        </w:tabs>
        <w:ind w:left="720" w:hanging="360"/>
      </w:pPr>
      <w:rPr>
        <w:rFonts w:ascii="Arial" w:hAnsi="Arial" w:hint="default"/>
      </w:rPr>
    </w:lvl>
    <w:lvl w:ilvl="1" w:tplc="5194F0D8" w:tentative="1">
      <w:start w:val="1"/>
      <w:numFmt w:val="bullet"/>
      <w:lvlText w:val="•"/>
      <w:lvlJc w:val="left"/>
      <w:pPr>
        <w:tabs>
          <w:tab w:val="num" w:pos="1440"/>
        </w:tabs>
        <w:ind w:left="1440" w:hanging="360"/>
      </w:pPr>
      <w:rPr>
        <w:rFonts w:ascii="Arial" w:hAnsi="Arial" w:hint="default"/>
      </w:rPr>
    </w:lvl>
    <w:lvl w:ilvl="2" w:tplc="4860F2C2" w:tentative="1">
      <w:start w:val="1"/>
      <w:numFmt w:val="bullet"/>
      <w:lvlText w:val="•"/>
      <w:lvlJc w:val="left"/>
      <w:pPr>
        <w:tabs>
          <w:tab w:val="num" w:pos="2160"/>
        </w:tabs>
        <w:ind w:left="2160" w:hanging="360"/>
      </w:pPr>
      <w:rPr>
        <w:rFonts w:ascii="Arial" w:hAnsi="Arial" w:hint="default"/>
      </w:rPr>
    </w:lvl>
    <w:lvl w:ilvl="3" w:tplc="9A426B12" w:tentative="1">
      <w:start w:val="1"/>
      <w:numFmt w:val="bullet"/>
      <w:lvlText w:val="•"/>
      <w:lvlJc w:val="left"/>
      <w:pPr>
        <w:tabs>
          <w:tab w:val="num" w:pos="2880"/>
        </w:tabs>
        <w:ind w:left="2880" w:hanging="360"/>
      </w:pPr>
      <w:rPr>
        <w:rFonts w:ascii="Arial" w:hAnsi="Arial" w:hint="default"/>
      </w:rPr>
    </w:lvl>
    <w:lvl w:ilvl="4" w:tplc="34667958" w:tentative="1">
      <w:start w:val="1"/>
      <w:numFmt w:val="bullet"/>
      <w:lvlText w:val="•"/>
      <w:lvlJc w:val="left"/>
      <w:pPr>
        <w:tabs>
          <w:tab w:val="num" w:pos="3600"/>
        </w:tabs>
        <w:ind w:left="3600" w:hanging="360"/>
      </w:pPr>
      <w:rPr>
        <w:rFonts w:ascii="Arial" w:hAnsi="Arial" w:hint="default"/>
      </w:rPr>
    </w:lvl>
    <w:lvl w:ilvl="5" w:tplc="8D8A6256" w:tentative="1">
      <w:start w:val="1"/>
      <w:numFmt w:val="bullet"/>
      <w:lvlText w:val="•"/>
      <w:lvlJc w:val="left"/>
      <w:pPr>
        <w:tabs>
          <w:tab w:val="num" w:pos="4320"/>
        </w:tabs>
        <w:ind w:left="4320" w:hanging="360"/>
      </w:pPr>
      <w:rPr>
        <w:rFonts w:ascii="Arial" w:hAnsi="Arial" w:hint="default"/>
      </w:rPr>
    </w:lvl>
    <w:lvl w:ilvl="6" w:tplc="00563C0A" w:tentative="1">
      <w:start w:val="1"/>
      <w:numFmt w:val="bullet"/>
      <w:lvlText w:val="•"/>
      <w:lvlJc w:val="left"/>
      <w:pPr>
        <w:tabs>
          <w:tab w:val="num" w:pos="5040"/>
        </w:tabs>
        <w:ind w:left="5040" w:hanging="360"/>
      </w:pPr>
      <w:rPr>
        <w:rFonts w:ascii="Arial" w:hAnsi="Arial" w:hint="default"/>
      </w:rPr>
    </w:lvl>
    <w:lvl w:ilvl="7" w:tplc="BD12D55C" w:tentative="1">
      <w:start w:val="1"/>
      <w:numFmt w:val="bullet"/>
      <w:lvlText w:val="•"/>
      <w:lvlJc w:val="left"/>
      <w:pPr>
        <w:tabs>
          <w:tab w:val="num" w:pos="5760"/>
        </w:tabs>
        <w:ind w:left="5760" w:hanging="360"/>
      </w:pPr>
      <w:rPr>
        <w:rFonts w:ascii="Arial" w:hAnsi="Arial" w:hint="default"/>
      </w:rPr>
    </w:lvl>
    <w:lvl w:ilvl="8" w:tplc="DA34A2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A41DC"/>
    <w:multiLevelType w:val="hybridMultilevel"/>
    <w:tmpl w:val="F4D408DA"/>
    <w:lvl w:ilvl="0" w:tplc="5FAE1A3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E61A2D"/>
    <w:multiLevelType w:val="hybridMultilevel"/>
    <w:tmpl w:val="CF86E5A2"/>
    <w:lvl w:ilvl="0" w:tplc="55CE403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2C34F13"/>
    <w:multiLevelType w:val="hybridMultilevel"/>
    <w:tmpl w:val="FDAAE99A"/>
    <w:lvl w:ilvl="0" w:tplc="0424000F">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720"/>
        </w:tabs>
        <w:ind w:left="72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5C17CD"/>
    <w:multiLevelType w:val="hybridMultilevel"/>
    <w:tmpl w:val="0B7CD7EC"/>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297822D8"/>
    <w:multiLevelType w:val="hybridMultilevel"/>
    <w:tmpl w:val="D36C5962"/>
    <w:lvl w:ilvl="0" w:tplc="8466C4C8">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A5C4391"/>
    <w:multiLevelType w:val="hybridMultilevel"/>
    <w:tmpl w:val="06B4A5C2"/>
    <w:lvl w:ilvl="0" w:tplc="4CE0AF4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FF8597E"/>
    <w:multiLevelType w:val="hybridMultilevel"/>
    <w:tmpl w:val="7F4CF922"/>
    <w:lvl w:ilvl="0" w:tplc="5FAE1A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857D36"/>
    <w:multiLevelType w:val="hybridMultilevel"/>
    <w:tmpl w:val="224E69DA"/>
    <w:lvl w:ilvl="0" w:tplc="0B50359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5B27A6"/>
    <w:multiLevelType w:val="hybridMultilevel"/>
    <w:tmpl w:val="30B4BE30"/>
    <w:lvl w:ilvl="0" w:tplc="02A82CE2">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45D70598"/>
    <w:multiLevelType w:val="hybridMultilevel"/>
    <w:tmpl w:val="655ABBE6"/>
    <w:lvl w:ilvl="0" w:tplc="A112BB20">
      <w:start w:val="1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B94DCD"/>
    <w:multiLevelType w:val="hybridMultilevel"/>
    <w:tmpl w:val="E0BC06C0"/>
    <w:lvl w:ilvl="0" w:tplc="04240001">
      <w:start w:val="1"/>
      <w:numFmt w:val="bullet"/>
      <w:lvlText w:val=""/>
      <w:lvlJc w:val="left"/>
      <w:pPr>
        <w:tabs>
          <w:tab w:val="num" w:pos="720"/>
        </w:tabs>
        <w:ind w:left="720"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4DAC007F"/>
    <w:multiLevelType w:val="hybridMultilevel"/>
    <w:tmpl w:val="61D23D4C"/>
    <w:lvl w:ilvl="0" w:tplc="4DF2D5E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190946"/>
    <w:multiLevelType w:val="hybridMultilevel"/>
    <w:tmpl w:val="E5743E06"/>
    <w:lvl w:ilvl="0" w:tplc="047A0B30">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07B44F7"/>
    <w:multiLevelType w:val="hybridMultilevel"/>
    <w:tmpl w:val="518A6B0C"/>
    <w:lvl w:ilvl="0" w:tplc="DFF428FA">
      <w:start w:val="4"/>
      <w:numFmt w:val="bullet"/>
      <w:lvlText w:val="-"/>
      <w:lvlJc w:val="left"/>
      <w:pPr>
        <w:ind w:left="420" w:hanging="360"/>
      </w:pPr>
      <w:rPr>
        <w:rFonts w:ascii="Arial" w:eastAsiaTheme="minorHAnsi" w:hAnsi="Arial" w:cs="Arial" w:hint="default"/>
        <w:sz w:val="2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9" w15:restartNumberingAfterBreak="0">
    <w:nsid w:val="51545405"/>
    <w:multiLevelType w:val="hybridMultilevel"/>
    <w:tmpl w:val="21120122"/>
    <w:lvl w:ilvl="0" w:tplc="04240003">
      <w:start w:val="1"/>
      <w:numFmt w:val="bullet"/>
      <w:lvlText w:val="o"/>
      <w:lvlJc w:val="left"/>
      <w:pPr>
        <w:ind w:left="2136" w:hanging="360"/>
      </w:pPr>
      <w:rPr>
        <w:rFonts w:ascii="Courier New" w:hAnsi="Courier New" w:cs="Courier New"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0" w15:restartNumberingAfterBreak="0">
    <w:nsid w:val="55B003AD"/>
    <w:multiLevelType w:val="hybridMultilevel"/>
    <w:tmpl w:val="606C8646"/>
    <w:lvl w:ilvl="0" w:tplc="04240001">
      <w:start w:val="1"/>
      <w:numFmt w:val="bullet"/>
      <w:lvlText w:val=""/>
      <w:lvlJc w:val="left"/>
      <w:pPr>
        <w:tabs>
          <w:tab w:val="num" w:pos="720"/>
        </w:tabs>
        <w:ind w:left="720"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15:restartNumberingAfterBreak="0">
    <w:nsid w:val="55DB0D5A"/>
    <w:multiLevelType w:val="hybridMultilevel"/>
    <w:tmpl w:val="C1F0A7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9BB3530"/>
    <w:multiLevelType w:val="hybridMultilevel"/>
    <w:tmpl w:val="7CC03C56"/>
    <w:lvl w:ilvl="0" w:tplc="4DF2D5E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C41FE5"/>
    <w:multiLevelType w:val="hybridMultilevel"/>
    <w:tmpl w:val="144CE6DE"/>
    <w:lvl w:ilvl="0" w:tplc="E59E9CF6">
      <w:numFmt w:val="bullet"/>
      <w:lvlText w:val="-"/>
      <w:lvlJc w:val="left"/>
      <w:pPr>
        <w:ind w:left="430" w:hanging="360"/>
      </w:pPr>
      <w:rPr>
        <w:rFonts w:ascii="Arial" w:eastAsiaTheme="minorHAnsi" w:hAnsi="Arial" w:cs="Arial" w:hint="default"/>
      </w:rPr>
    </w:lvl>
    <w:lvl w:ilvl="1" w:tplc="04240003" w:tentative="1">
      <w:start w:val="1"/>
      <w:numFmt w:val="bullet"/>
      <w:lvlText w:val="o"/>
      <w:lvlJc w:val="left"/>
      <w:pPr>
        <w:ind w:left="1150" w:hanging="360"/>
      </w:pPr>
      <w:rPr>
        <w:rFonts w:ascii="Courier New" w:hAnsi="Courier New" w:cs="Courier New" w:hint="default"/>
      </w:rPr>
    </w:lvl>
    <w:lvl w:ilvl="2" w:tplc="04240005" w:tentative="1">
      <w:start w:val="1"/>
      <w:numFmt w:val="bullet"/>
      <w:lvlText w:val=""/>
      <w:lvlJc w:val="left"/>
      <w:pPr>
        <w:ind w:left="1870" w:hanging="360"/>
      </w:pPr>
      <w:rPr>
        <w:rFonts w:ascii="Wingdings" w:hAnsi="Wingdings" w:hint="default"/>
      </w:rPr>
    </w:lvl>
    <w:lvl w:ilvl="3" w:tplc="04240001" w:tentative="1">
      <w:start w:val="1"/>
      <w:numFmt w:val="bullet"/>
      <w:lvlText w:val=""/>
      <w:lvlJc w:val="left"/>
      <w:pPr>
        <w:ind w:left="2590" w:hanging="360"/>
      </w:pPr>
      <w:rPr>
        <w:rFonts w:ascii="Symbol" w:hAnsi="Symbol" w:hint="default"/>
      </w:rPr>
    </w:lvl>
    <w:lvl w:ilvl="4" w:tplc="04240003" w:tentative="1">
      <w:start w:val="1"/>
      <w:numFmt w:val="bullet"/>
      <w:lvlText w:val="o"/>
      <w:lvlJc w:val="left"/>
      <w:pPr>
        <w:ind w:left="3310" w:hanging="360"/>
      </w:pPr>
      <w:rPr>
        <w:rFonts w:ascii="Courier New" w:hAnsi="Courier New" w:cs="Courier New" w:hint="default"/>
      </w:rPr>
    </w:lvl>
    <w:lvl w:ilvl="5" w:tplc="04240005" w:tentative="1">
      <w:start w:val="1"/>
      <w:numFmt w:val="bullet"/>
      <w:lvlText w:val=""/>
      <w:lvlJc w:val="left"/>
      <w:pPr>
        <w:ind w:left="4030" w:hanging="360"/>
      </w:pPr>
      <w:rPr>
        <w:rFonts w:ascii="Wingdings" w:hAnsi="Wingdings" w:hint="default"/>
      </w:rPr>
    </w:lvl>
    <w:lvl w:ilvl="6" w:tplc="04240001" w:tentative="1">
      <w:start w:val="1"/>
      <w:numFmt w:val="bullet"/>
      <w:lvlText w:val=""/>
      <w:lvlJc w:val="left"/>
      <w:pPr>
        <w:ind w:left="4750" w:hanging="360"/>
      </w:pPr>
      <w:rPr>
        <w:rFonts w:ascii="Symbol" w:hAnsi="Symbol" w:hint="default"/>
      </w:rPr>
    </w:lvl>
    <w:lvl w:ilvl="7" w:tplc="04240003" w:tentative="1">
      <w:start w:val="1"/>
      <w:numFmt w:val="bullet"/>
      <w:lvlText w:val="o"/>
      <w:lvlJc w:val="left"/>
      <w:pPr>
        <w:ind w:left="5470" w:hanging="360"/>
      </w:pPr>
      <w:rPr>
        <w:rFonts w:ascii="Courier New" w:hAnsi="Courier New" w:cs="Courier New" w:hint="default"/>
      </w:rPr>
    </w:lvl>
    <w:lvl w:ilvl="8" w:tplc="04240005" w:tentative="1">
      <w:start w:val="1"/>
      <w:numFmt w:val="bullet"/>
      <w:lvlText w:val=""/>
      <w:lvlJc w:val="left"/>
      <w:pPr>
        <w:ind w:left="6190" w:hanging="360"/>
      </w:pPr>
      <w:rPr>
        <w:rFonts w:ascii="Wingdings" w:hAnsi="Wingdings" w:hint="default"/>
      </w:rPr>
    </w:lvl>
  </w:abstractNum>
  <w:abstractNum w:abstractNumId="24" w15:restartNumberingAfterBreak="0">
    <w:nsid w:val="611105EC"/>
    <w:multiLevelType w:val="hybridMultilevel"/>
    <w:tmpl w:val="E08CD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2967042"/>
    <w:multiLevelType w:val="hybridMultilevel"/>
    <w:tmpl w:val="B576263C"/>
    <w:lvl w:ilvl="0" w:tplc="ED7C3730">
      <w:start w:val="1"/>
      <w:numFmt w:val="bullet"/>
      <w:lvlText w:val="-"/>
      <w:lvlJc w:val="left"/>
      <w:pPr>
        <w:ind w:left="720" w:hanging="360"/>
      </w:pPr>
      <w:rPr>
        <w:rFonts w:ascii="Tahoma" w:hAnsi="Tahom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987E69"/>
    <w:multiLevelType w:val="hybridMultilevel"/>
    <w:tmpl w:val="7338CE4E"/>
    <w:lvl w:ilvl="0" w:tplc="4DF2D5E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560079"/>
    <w:multiLevelType w:val="hybridMultilevel"/>
    <w:tmpl w:val="C7A2261E"/>
    <w:lvl w:ilvl="0" w:tplc="AA2036D4">
      <w:start w:val="1"/>
      <w:numFmt w:val="decimal"/>
      <w:lvlText w:val="%1)"/>
      <w:lvlJc w:val="left"/>
      <w:pPr>
        <w:ind w:left="1069" w:hanging="360"/>
      </w:pPr>
      <w:rPr>
        <w:rFonts w:hint="default"/>
        <w:color w:val="auto"/>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73CA4E84"/>
    <w:multiLevelType w:val="hybridMultilevel"/>
    <w:tmpl w:val="487C3FD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4DA2F55"/>
    <w:multiLevelType w:val="hybridMultilevel"/>
    <w:tmpl w:val="1030670A"/>
    <w:lvl w:ilvl="0" w:tplc="487E65A8">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56409D"/>
    <w:multiLevelType w:val="hybridMultilevel"/>
    <w:tmpl w:val="E1DC5CBA"/>
    <w:lvl w:ilvl="0" w:tplc="B1E8B66E">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11"/>
  </w:num>
  <w:num w:numId="3">
    <w:abstractNumId w:val="5"/>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9"/>
  </w:num>
  <w:num w:numId="8">
    <w:abstractNumId w:val="23"/>
  </w:num>
  <w:num w:numId="9">
    <w:abstractNumId w:val="17"/>
  </w:num>
  <w:num w:numId="10">
    <w:abstractNumId w:val="12"/>
  </w:num>
  <w:num w:numId="11">
    <w:abstractNumId w:val="10"/>
  </w:num>
  <w:num w:numId="12">
    <w:abstractNumId w:val="25"/>
  </w:num>
  <w:num w:numId="13">
    <w:abstractNumId w:val="4"/>
  </w:num>
  <w:num w:numId="14">
    <w:abstractNumId w:val="27"/>
  </w:num>
  <w:num w:numId="15">
    <w:abstractNumId w:val="30"/>
  </w:num>
  <w:num w:numId="16">
    <w:abstractNumId w:val="1"/>
  </w:num>
  <w:num w:numId="17">
    <w:abstractNumId w:val="14"/>
  </w:num>
  <w:num w:numId="18">
    <w:abstractNumId w:val="21"/>
  </w:num>
  <w:num w:numId="19">
    <w:abstractNumId w:val="26"/>
  </w:num>
  <w:num w:numId="20">
    <w:abstractNumId w:val="22"/>
  </w:num>
  <w:num w:numId="21">
    <w:abstractNumId w:val="16"/>
  </w:num>
  <w:num w:numId="22">
    <w:abstractNumId w:val="7"/>
  </w:num>
  <w:num w:numId="2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0"/>
  </w:num>
  <w:num w:numId="26">
    <w:abstractNumId w:val="2"/>
  </w:num>
  <w:num w:numId="27">
    <w:abstractNumId w:val="13"/>
  </w:num>
  <w:num w:numId="28">
    <w:abstractNumId w:val="3"/>
  </w:num>
  <w:num w:numId="29">
    <w:abstractNumId w:val="19"/>
  </w:num>
  <w:num w:numId="30">
    <w:abstractNumId w:val="24"/>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566"/>
    <w:rsid w:val="00000692"/>
    <w:rsid w:val="000008D9"/>
    <w:rsid w:val="00012636"/>
    <w:rsid w:val="00012D53"/>
    <w:rsid w:val="00022A92"/>
    <w:rsid w:val="00032C8F"/>
    <w:rsid w:val="00032D73"/>
    <w:rsid w:val="00040ACF"/>
    <w:rsid w:val="000534B4"/>
    <w:rsid w:val="00077165"/>
    <w:rsid w:val="00095F53"/>
    <w:rsid w:val="000A01D0"/>
    <w:rsid w:val="000D7C46"/>
    <w:rsid w:val="000F3512"/>
    <w:rsid w:val="00113744"/>
    <w:rsid w:val="001153E0"/>
    <w:rsid w:val="00122D8F"/>
    <w:rsid w:val="001324F9"/>
    <w:rsid w:val="00136948"/>
    <w:rsid w:val="00150F06"/>
    <w:rsid w:val="00166CF6"/>
    <w:rsid w:val="001916E7"/>
    <w:rsid w:val="001B595A"/>
    <w:rsid w:val="001B6F90"/>
    <w:rsid w:val="001C17F2"/>
    <w:rsid w:val="001C36F9"/>
    <w:rsid w:val="001C4BCC"/>
    <w:rsid w:val="001D1CC7"/>
    <w:rsid w:val="001E09B8"/>
    <w:rsid w:val="001E6305"/>
    <w:rsid w:val="001F2E97"/>
    <w:rsid w:val="001F62F4"/>
    <w:rsid w:val="002133A3"/>
    <w:rsid w:val="00216D0F"/>
    <w:rsid w:val="00217014"/>
    <w:rsid w:val="00221B8B"/>
    <w:rsid w:val="002326B0"/>
    <w:rsid w:val="002339F1"/>
    <w:rsid w:val="002374CF"/>
    <w:rsid w:val="002434C3"/>
    <w:rsid w:val="00246603"/>
    <w:rsid w:val="00247756"/>
    <w:rsid w:val="002603DC"/>
    <w:rsid w:val="0026460E"/>
    <w:rsid w:val="0027534E"/>
    <w:rsid w:val="00282CA4"/>
    <w:rsid w:val="002846A5"/>
    <w:rsid w:val="00287703"/>
    <w:rsid w:val="00295701"/>
    <w:rsid w:val="002A4111"/>
    <w:rsid w:val="002B1C41"/>
    <w:rsid w:val="002E6EBF"/>
    <w:rsid w:val="003036BB"/>
    <w:rsid w:val="003101CE"/>
    <w:rsid w:val="00311670"/>
    <w:rsid w:val="00313C1F"/>
    <w:rsid w:val="00315121"/>
    <w:rsid w:val="00321ADD"/>
    <w:rsid w:val="003240BC"/>
    <w:rsid w:val="0033096D"/>
    <w:rsid w:val="0033118E"/>
    <w:rsid w:val="00347E43"/>
    <w:rsid w:val="003833C5"/>
    <w:rsid w:val="00386287"/>
    <w:rsid w:val="00392833"/>
    <w:rsid w:val="003B32D1"/>
    <w:rsid w:val="003B7D41"/>
    <w:rsid w:val="003D0160"/>
    <w:rsid w:val="003E5ACB"/>
    <w:rsid w:val="003F1830"/>
    <w:rsid w:val="003F3571"/>
    <w:rsid w:val="003F556E"/>
    <w:rsid w:val="004014FA"/>
    <w:rsid w:val="004067B0"/>
    <w:rsid w:val="00424DBF"/>
    <w:rsid w:val="00426FE8"/>
    <w:rsid w:val="00485A7A"/>
    <w:rsid w:val="004A2AC0"/>
    <w:rsid w:val="004A775E"/>
    <w:rsid w:val="004B23DD"/>
    <w:rsid w:val="004B41D3"/>
    <w:rsid w:val="004D2EDF"/>
    <w:rsid w:val="004D49CA"/>
    <w:rsid w:val="004E2E74"/>
    <w:rsid w:val="004E3AC1"/>
    <w:rsid w:val="00501A30"/>
    <w:rsid w:val="00505DEC"/>
    <w:rsid w:val="005314A8"/>
    <w:rsid w:val="00547A82"/>
    <w:rsid w:val="00585B48"/>
    <w:rsid w:val="00592246"/>
    <w:rsid w:val="00593FCA"/>
    <w:rsid w:val="005A0A17"/>
    <w:rsid w:val="005A3CE8"/>
    <w:rsid w:val="005A4E8B"/>
    <w:rsid w:val="005A7090"/>
    <w:rsid w:val="005B2E67"/>
    <w:rsid w:val="005B6FE3"/>
    <w:rsid w:val="005B7F75"/>
    <w:rsid w:val="005D0823"/>
    <w:rsid w:val="005F4EA0"/>
    <w:rsid w:val="0060705A"/>
    <w:rsid w:val="00610F85"/>
    <w:rsid w:val="00616B33"/>
    <w:rsid w:val="00616F03"/>
    <w:rsid w:val="00623C10"/>
    <w:rsid w:val="00624EDD"/>
    <w:rsid w:val="00626D4B"/>
    <w:rsid w:val="00636D36"/>
    <w:rsid w:val="00641180"/>
    <w:rsid w:val="00647F14"/>
    <w:rsid w:val="0065366C"/>
    <w:rsid w:val="00660A24"/>
    <w:rsid w:val="00667071"/>
    <w:rsid w:val="0067685F"/>
    <w:rsid w:val="00680294"/>
    <w:rsid w:val="006826AE"/>
    <w:rsid w:val="006960F2"/>
    <w:rsid w:val="006C7634"/>
    <w:rsid w:val="006E7EFF"/>
    <w:rsid w:val="006F3AAF"/>
    <w:rsid w:val="00707DE4"/>
    <w:rsid w:val="007248F7"/>
    <w:rsid w:val="00755E24"/>
    <w:rsid w:val="007636AA"/>
    <w:rsid w:val="00763E83"/>
    <w:rsid w:val="00766ED2"/>
    <w:rsid w:val="00777742"/>
    <w:rsid w:val="007779F9"/>
    <w:rsid w:val="00783DB5"/>
    <w:rsid w:val="00794FD2"/>
    <w:rsid w:val="007975F1"/>
    <w:rsid w:val="007A637F"/>
    <w:rsid w:val="007A7E1B"/>
    <w:rsid w:val="007B35B6"/>
    <w:rsid w:val="007C01B8"/>
    <w:rsid w:val="007D0B41"/>
    <w:rsid w:val="007F22DB"/>
    <w:rsid w:val="007F519F"/>
    <w:rsid w:val="008022E6"/>
    <w:rsid w:val="00807A1A"/>
    <w:rsid w:val="00816D1F"/>
    <w:rsid w:val="0083761A"/>
    <w:rsid w:val="008610F3"/>
    <w:rsid w:val="00863448"/>
    <w:rsid w:val="008638B4"/>
    <w:rsid w:val="0088169C"/>
    <w:rsid w:val="008A4E8C"/>
    <w:rsid w:val="008A7AF2"/>
    <w:rsid w:val="008B71D4"/>
    <w:rsid w:val="008D4789"/>
    <w:rsid w:val="008E1059"/>
    <w:rsid w:val="008E3ADA"/>
    <w:rsid w:val="008F40D7"/>
    <w:rsid w:val="008F70B0"/>
    <w:rsid w:val="00907CBD"/>
    <w:rsid w:val="009174B2"/>
    <w:rsid w:val="009203F0"/>
    <w:rsid w:val="00936497"/>
    <w:rsid w:val="00944D22"/>
    <w:rsid w:val="00973DAF"/>
    <w:rsid w:val="009928A0"/>
    <w:rsid w:val="009A30A6"/>
    <w:rsid w:val="009A4A73"/>
    <w:rsid w:val="009A62BD"/>
    <w:rsid w:val="009B26B7"/>
    <w:rsid w:val="009B4A20"/>
    <w:rsid w:val="009C6AA4"/>
    <w:rsid w:val="009C6BD0"/>
    <w:rsid w:val="009D1DDB"/>
    <w:rsid w:val="00A00864"/>
    <w:rsid w:val="00A05B25"/>
    <w:rsid w:val="00A07DDC"/>
    <w:rsid w:val="00A13EC5"/>
    <w:rsid w:val="00A1452E"/>
    <w:rsid w:val="00A161BD"/>
    <w:rsid w:val="00A17970"/>
    <w:rsid w:val="00A337BF"/>
    <w:rsid w:val="00A33DE2"/>
    <w:rsid w:val="00A41B43"/>
    <w:rsid w:val="00A45AB7"/>
    <w:rsid w:val="00AD05A3"/>
    <w:rsid w:val="00AE085B"/>
    <w:rsid w:val="00AE3D04"/>
    <w:rsid w:val="00AF0631"/>
    <w:rsid w:val="00AF76E7"/>
    <w:rsid w:val="00B20D2A"/>
    <w:rsid w:val="00B234DC"/>
    <w:rsid w:val="00B4316D"/>
    <w:rsid w:val="00B52E25"/>
    <w:rsid w:val="00B56D65"/>
    <w:rsid w:val="00B57B9B"/>
    <w:rsid w:val="00B720BE"/>
    <w:rsid w:val="00B82D06"/>
    <w:rsid w:val="00B91230"/>
    <w:rsid w:val="00B91762"/>
    <w:rsid w:val="00B92E89"/>
    <w:rsid w:val="00B949D5"/>
    <w:rsid w:val="00BA132B"/>
    <w:rsid w:val="00BA1ECC"/>
    <w:rsid w:val="00BA316A"/>
    <w:rsid w:val="00BA79AC"/>
    <w:rsid w:val="00BC557A"/>
    <w:rsid w:val="00BE69B9"/>
    <w:rsid w:val="00BF325D"/>
    <w:rsid w:val="00C05698"/>
    <w:rsid w:val="00C12A20"/>
    <w:rsid w:val="00C23130"/>
    <w:rsid w:val="00C353FF"/>
    <w:rsid w:val="00C75F4B"/>
    <w:rsid w:val="00C8761E"/>
    <w:rsid w:val="00C92776"/>
    <w:rsid w:val="00C9284F"/>
    <w:rsid w:val="00C93114"/>
    <w:rsid w:val="00CB2953"/>
    <w:rsid w:val="00CB6782"/>
    <w:rsid w:val="00CC2402"/>
    <w:rsid w:val="00CC4045"/>
    <w:rsid w:val="00CC520A"/>
    <w:rsid w:val="00CD1693"/>
    <w:rsid w:val="00CD5923"/>
    <w:rsid w:val="00D272D7"/>
    <w:rsid w:val="00D33257"/>
    <w:rsid w:val="00D421C8"/>
    <w:rsid w:val="00D462F1"/>
    <w:rsid w:val="00D63557"/>
    <w:rsid w:val="00D7118F"/>
    <w:rsid w:val="00D7571C"/>
    <w:rsid w:val="00D808DB"/>
    <w:rsid w:val="00D83566"/>
    <w:rsid w:val="00DC067A"/>
    <w:rsid w:val="00DC5CF5"/>
    <w:rsid w:val="00DD1E53"/>
    <w:rsid w:val="00DD2400"/>
    <w:rsid w:val="00DD5235"/>
    <w:rsid w:val="00DE2BCD"/>
    <w:rsid w:val="00DE7B8F"/>
    <w:rsid w:val="00DF63D9"/>
    <w:rsid w:val="00E1538A"/>
    <w:rsid w:val="00E17A84"/>
    <w:rsid w:val="00E3529C"/>
    <w:rsid w:val="00E43BB4"/>
    <w:rsid w:val="00E50F2F"/>
    <w:rsid w:val="00E5582F"/>
    <w:rsid w:val="00E61F3F"/>
    <w:rsid w:val="00E629FF"/>
    <w:rsid w:val="00E6622F"/>
    <w:rsid w:val="00E73AC3"/>
    <w:rsid w:val="00EA0493"/>
    <w:rsid w:val="00EC136B"/>
    <w:rsid w:val="00ED072A"/>
    <w:rsid w:val="00EE004A"/>
    <w:rsid w:val="00EE1F15"/>
    <w:rsid w:val="00EE612F"/>
    <w:rsid w:val="00EF2AC3"/>
    <w:rsid w:val="00F265C4"/>
    <w:rsid w:val="00F43092"/>
    <w:rsid w:val="00F45061"/>
    <w:rsid w:val="00F80CEA"/>
    <w:rsid w:val="00F87FC3"/>
    <w:rsid w:val="00FB2D6B"/>
    <w:rsid w:val="00FB6C22"/>
    <w:rsid w:val="00FC2037"/>
    <w:rsid w:val="00FD6BBE"/>
    <w:rsid w:val="00FE072C"/>
    <w:rsid w:val="00FE2533"/>
    <w:rsid w:val="00FF0388"/>
    <w:rsid w:val="00FF1B4D"/>
    <w:rsid w:val="00FF6C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E2E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22"/>
        <w:szCs w:val="22"/>
        <w:lang w:val="en-GB" w:eastAsia="en-US" w:bidi="ar-SA"/>
      </w:rPr>
    </w:rPrDefault>
    <w:pPrDefault>
      <w:pPr>
        <w:spacing w:line="300" w:lineRule="atLeast"/>
        <w:jc w:val="both"/>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1B6F90"/>
    <w:pPr>
      <w:spacing w:before="120" w:after="120" w:line="276" w:lineRule="auto"/>
    </w:pPr>
    <w:rPr>
      <w:rFonts w:ascii="Calibri" w:hAnsi="Calibri"/>
    </w:rPr>
  </w:style>
  <w:style w:type="paragraph" w:styleId="Naslov1">
    <w:name w:val="heading 1"/>
    <w:aliases w:val="NASLOV"/>
    <w:basedOn w:val="Navaden"/>
    <w:next w:val="Navaden"/>
    <w:link w:val="Naslov1Znak"/>
    <w:autoRedefine/>
    <w:qFormat/>
    <w:rsid w:val="008A7AF2"/>
    <w:pPr>
      <w:keepNext/>
      <w:spacing w:before="240" w:after="60" w:line="260" w:lineRule="atLeast"/>
      <w:jc w:val="left"/>
      <w:outlineLvl w:val="0"/>
    </w:pPr>
    <w:rPr>
      <w:rFonts w:ascii="Arial" w:eastAsia="Times New Roman" w:hAnsi="Arial" w:cs="Times New Roman"/>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B71D4"/>
    <w:pPr>
      <w:tabs>
        <w:tab w:val="center" w:pos="4536"/>
        <w:tab w:val="right" w:pos="9072"/>
      </w:tabs>
      <w:spacing w:line="240" w:lineRule="auto"/>
    </w:pPr>
  </w:style>
  <w:style w:type="character" w:customStyle="1" w:styleId="GlavaZnak">
    <w:name w:val="Glava Znak"/>
    <w:basedOn w:val="Privzetapisavaodstavka"/>
    <w:link w:val="Glava"/>
    <w:uiPriority w:val="99"/>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semiHidden/>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8B71D4"/>
    <w:rPr>
      <w:rFonts w:ascii="Tahoma" w:hAnsi="Tahoma" w:cs="Tahoma"/>
      <w:sz w:val="16"/>
      <w:szCs w:val="16"/>
    </w:rPr>
  </w:style>
  <w:style w:type="paragraph" w:styleId="Navadensplet">
    <w:name w:val="Normal (Web)"/>
    <w:basedOn w:val="Navaden"/>
    <w:uiPriority w:val="99"/>
    <w:semiHidden/>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basedOn w:val="Navaden"/>
    <w:link w:val="OdstavekseznamaZnak"/>
    <w:uiPriority w:val="34"/>
    <w:qFormat/>
    <w:rsid w:val="00610F85"/>
    <w:pPr>
      <w:spacing w:before="0" w:after="160" w:line="259" w:lineRule="auto"/>
      <w:ind w:left="720"/>
      <w:contextualSpacing/>
      <w:jc w:val="left"/>
    </w:pPr>
    <w:rPr>
      <w:rFonts w:asciiTheme="minorHAnsi" w:hAnsiTheme="minorHAnsi"/>
    </w:rPr>
  </w:style>
  <w:style w:type="character" w:customStyle="1" w:styleId="OdstavekseznamaZnak">
    <w:name w:val="Odstavek seznama Znak"/>
    <w:basedOn w:val="Privzetapisavaodstavka"/>
    <w:link w:val="Odstavekseznama"/>
    <w:uiPriority w:val="99"/>
    <w:locked/>
    <w:rsid w:val="00B57B9B"/>
    <w:rPr>
      <w:rFonts w:asciiTheme="minorHAnsi" w:hAnsiTheme="minorHAnsi"/>
    </w:rPr>
  </w:style>
  <w:style w:type="character" w:styleId="Hiperpovezava">
    <w:name w:val="Hyperlink"/>
    <w:basedOn w:val="Privzetapisavaodstavka"/>
    <w:uiPriority w:val="99"/>
    <w:unhideWhenUsed/>
    <w:rsid w:val="003B7D41"/>
    <w:rPr>
      <w:color w:val="0000FF" w:themeColor="hyperlink"/>
      <w:u w:val="single"/>
    </w:rPr>
  </w:style>
  <w:style w:type="character" w:customStyle="1" w:styleId="Naslov1Znak">
    <w:name w:val="Naslov 1 Znak"/>
    <w:aliases w:val="NASLOV Znak"/>
    <w:basedOn w:val="Privzetapisavaodstavka"/>
    <w:link w:val="Naslov1"/>
    <w:rsid w:val="008A7AF2"/>
    <w:rPr>
      <w:rFonts w:ascii="Arial" w:eastAsia="Times New Roman" w:hAnsi="Arial" w:cs="Times New Roman"/>
      <w:b/>
      <w:kern w:val="32"/>
      <w:sz w:val="28"/>
      <w:szCs w:val="32"/>
      <w:lang w:eastAsia="sl-SI"/>
    </w:rPr>
  </w:style>
  <w:style w:type="paragraph" w:styleId="Telobesedila2">
    <w:name w:val="Body Text 2"/>
    <w:basedOn w:val="Navaden"/>
    <w:link w:val="Telobesedila2Znak"/>
    <w:rsid w:val="008A7AF2"/>
    <w:pPr>
      <w:spacing w:before="0" w:line="480" w:lineRule="auto"/>
      <w:jc w:val="left"/>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8A7AF2"/>
    <w:rPr>
      <w:rFonts w:ascii="Times New Roman" w:eastAsia="Times New Roman" w:hAnsi="Times New Roman" w:cs="Times New Roman"/>
      <w:sz w:val="24"/>
      <w:szCs w:val="24"/>
      <w:lang w:eastAsia="sl-SI"/>
    </w:rPr>
  </w:style>
  <w:style w:type="paragraph" w:customStyle="1" w:styleId="Default">
    <w:name w:val="Default"/>
    <w:rsid w:val="008A7AF2"/>
    <w:pPr>
      <w:autoSpaceDE w:val="0"/>
      <w:autoSpaceDN w:val="0"/>
      <w:adjustRightInd w:val="0"/>
      <w:spacing w:line="240" w:lineRule="auto"/>
      <w:jc w:val="left"/>
    </w:pPr>
    <w:rPr>
      <w:rFonts w:ascii="Verdana" w:hAnsi="Verdana" w:cs="Verdana"/>
      <w:color w:val="000000"/>
      <w:sz w:val="24"/>
      <w:szCs w:val="24"/>
    </w:rPr>
  </w:style>
  <w:style w:type="character" w:styleId="Pripombasklic">
    <w:name w:val="annotation reference"/>
    <w:basedOn w:val="Privzetapisavaodstavka"/>
    <w:uiPriority w:val="99"/>
    <w:semiHidden/>
    <w:unhideWhenUsed/>
    <w:rsid w:val="004E2E74"/>
    <w:rPr>
      <w:sz w:val="16"/>
      <w:szCs w:val="16"/>
    </w:rPr>
  </w:style>
  <w:style w:type="paragraph" w:styleId="Pripombabesedilo">
    <w:name w:val="annotation text"/>
    <w:basedOn w:val="Navaden"/>
    <w:link w:val="PripombabesediloZnak"/>
    <w:uiPriority w:val="99"/>
    <w:semiHidden/>
    <w:unhideWhenUsed/>
    <w:rsid w:val="004E2E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E2E74"/>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4E2E74"/>
    <w:rPr>
      <w:b/>
      <w:bCs/>
    </w:rPr>
  </w:style>
  <w:style w:type="character" w:customStyle="1" w:styleId="ZadevapripombeZnak">
    <w:name w:val="Zadeva pripombe Znak"/>
    <w:basedOn w:val="PripombabesediloZnak"/>
    <w:link w:val="Zadevapripombe"/>
    <w:uiPriority w:val="99"/>
    <w:semiHidden/>
    <w:rsid w:val="004E2E74"/>
    <w:rPr>
      <w:rFonts w:ascii="Calibri" w:hAnsi="Calibri"/>
      <w:b/>
      <w:bCs/>
      <w:sz w:val="20"/>
      <w:szCs w:val="20"/>
    </w:rPr>
  </w:style>
  <w:style w:type="paragraph" w:customStyle="1" w:styleId="text1">
    <w:name w:val="text1"/>
    <w:basedOn w:val="Navaden"/>
    <w:rsid w:val="00A17970"/>
    <w:pPr>
      <w:spacing w:before="60" w:after="60" w:line="240" w:lineRule="auto"/>
      <w:ind w:left="851"/>
    </w:pPr>
    <w:rPr>
      <w:rFonts w:ascii="Arial" w:hAnsi="Arial" w:cs="Arial"/>
      <w:sz w:val="20"/>
      <w:szCs w:val="20"/>
      <w:lang w:eastAsia="fr-FR"/>
    </w:rPr>
  </w:style>
  <w:style w:type="paragraph" w:styleId="Revizija">
    <w:name w:val="Revision"/>
    <w:hidden/>
    <w:uiPriority w:val="99"/>
    <w:semiHidden/>
    <w:rsid w:val="00AD05A3"/>
    <w:pPr>
      <w:spacing w:line="240" w:lineRule="auto"/>
      <w:jc w:val="left"/>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389890680">
      <w:bodyDiv w:val="1"/>
      <w:marLeft w:val="0"/>
      <w:marRight w:val="0"/>
      <w:marTop w:val="0"/>
      <w:marBottom w:val="0"/>
      <w:divBdr>
        <w:top w:val="none" w:sz="0" w:space="0" w:color="auto"/>
        <w:left w:val="none" w:sz="0" w:space="0" w:color="auto"/>
        <w:bottom w:val="none" w:sz="0" w:space="0" w:color="auto"/>
        <w:right w:val="none" w:sz="0" w:space="0" w:color="auto"/>
      </w:divBdr>
    </w:div>
    <w:div w:id="515189830">
      <w:bodyDiv w:val="1"/>
      <w:marLeft w:val="0"/>
      <w:marRight w:val="0"/>
      <w:marTop w:val="0"/>
      <w:marBottom w:val="0"/>
      <w:divBdr>
        <w:top w:val="none" w:sz="0" w:space="0" w:color="auto"/>
        <w:left w:val="none" w:sz="0" w:space="0" w:color="auto"/>
        <w:bottom w:val="none" w:sz="0" w:space="0" w:color="auto"/>
        <w:right w:val="none" w:sz="0" w:space="0" w:color="auto"/>
      </w:divBdr>
    </w:div>
    <w:div w:id="1052771083">
      <w:bodyDiv w:val="1"/>
      <w:marLeft w:val="0"/>
      <w:marRight w:val="0"/>
      <w:marTop w:val="0"/>
      <w:marBottom w:val="0"/>
      <w:divBdr>
        <w:top w:val="none" w:sz="0" w:space="0" w:color="auto"/>
        <w:left w:val="none" w:sz="0" w:space="0" w:color="auto"/>
        <w:bottom w:val="none" w:sz="0" w:space="0" w:color="auto"/>
        <w:right w:val="none" w:sz="0" w:space="0" w:color="auto"/>
      </w:divBdr>
    </w:div>
    <w:div w:id="1211578818">
      <w:bodyDiv w:val="1"/>
      <w:marLeft w:val="0"/>
      <w:marRight w:val="0"/>
      <w:marTop w:val="0"/>
      <w:marBottom w:val="0"/>
      <w:divBdr>
        <w:top w:val="none" w:sz="0" w:space="0" w:color="auto"/>
        <w:left w:val="none" w:sz="0" w:space="0" w:color="auto"/>
        <w:bottom w:val="none" w:sz="0" w:space="0" w:color="auto"/>
        <w:right w:val="none" w:sz="0" w:space="0" w:color="auto"/>
      </w:divBdr>
    </w:div>
    <w:div w:id="1347096335">
      <w:bodyDiv w:val="1"/>
      <w:marLeft w:val="0"/>
      <w:marRight w:val="0"/>
      <w:marTop w:val="0"/>
      <w:marBottom w:val="0"/>
      <w:divBdr>
        <w:top w:val="none" w:sz="0" w:space="0" w:color="auto"/>
        <w:left w:val="none" w:sz="0" w:space="0" w:color="auto"/>
        <w:bottom w:val="none" w:sz="0" w:space="0" w:color="auto"/>
        <w:right w:val="none" w:sz="0" w:space="0" w:color="auto"/>
      </w:divBdr>
    </w:div>
    <w:div w:id="163506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6F4E93-8EF7-4866-A977-7FA11C360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1174</Words>
  <Characters>6695</Characters>
  <Application>Microsoft Office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2019-09-24T08:50:00Z</dcterms:created>
  <dcterms:modified xsi:type="dcterms:W3CDTF">2019-09-24T08:50:00Z</dcterms:modified>
</cp:coreProperties>
</file>